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DE0774" w:rsidRPr="0079240C" w14:paraId="49156EC7" w14:textId="77777777">
        <w:tc>
          <w:tcPr>
            <w:tcW w:w="9060" w:type="dxa"/>
          </w:tcPr>
          <w:p w14:paraId="3639238B" w14:textId="11B37597" w:rsidR="00DE0774" w:rsidRDefault="0079240C">
            <w:pPr>
              <w:pStyle w:val="TtuloCICURV"/>
              <w:rPr>
                <w:lang w:val="pt-BR"/>
              </w:rPr>
            </w:pPr>
            <w:bookmarkStart w:id="0" w:name="_GoBack"/>
            <w:r>
              <w:rPr>
                <w:lang w:val="pt-BR"/>
              </w:rPr>
              <w:t>Uso de mecanismos de abertura de sulco de semeadura influencia o desempenho agronômico da soja no Cerrado</w:t>
            </w:r>
            <w:bookmarkEnd w:id="0"/>
          </w:p>
        </w:tc>
      </w:tr>
    </w:tbl>
    <w:p w14:paraId="5647959E" w14:textId="77777777" w:rsidR="00DE0774" w:rsidRDefault="00DE0774" w:rsidP="00AB6C59">
      <w:pPr>
        <w:ind w:left="2" w:hanging="2"/>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DE0774" w:rsidRPr="0079240C" w14:paraId="2834DFD5" w14:textId="77777777">
        <w:tc>
          <w:tcPr>
            <w:tcW w:w="9060" w:type="dxa"/>
          </w:tcPr>
          <w:p w14:paraId="1343B9A0" w14:textId="329AA681" w:rsidR="00DE0774" w:rsidRDefault="0079240C">
            <w:pPr>
              <w:pStyle w:val="AutoresCICURV"/>
            </w:pPr>
            <w:r>
              <w:t>Maria Vitória Guimarães Leão</w:t>
            </w:r>
            <w:r w:rsidR="00193428">
              <w:rPr>
                <w:vertAlign w:val="superscript"/>
              </w:rPr>
              <w:t>1</w:t>
            </w:r>
            <w:r w:rsidR="00193428">
              <w:t xml:space="preserve">, </w:t>
            </w:r>
            <w:r w:rsidR="00D542E8">
              <w:t>Vívian Ribeiro de Oliveira Preto</w:t>
            </w:r>
            <w:r w:rsidR="00193428">
              <w:rPr>
                <w:vertAlign w:val="superscript"/>
              </w:rPr>
              <w:t>2</w:t>
            </w:r>
            <w:r w:rsidR="00193428">
              <w:t>,</w:t>
            </w:r>
            <w:bookmarkStart w:id="1" w:name="_heading=h.hh3h1oih2bb4" w:colFirst="0" w:colLast="0"/>
            <w:bookmarkStart w:id="2" w:name="_heading=h.jtv7oztne4ly" w:colFirst="0" w:colLast="0"/>
            <w:bookmarkEnd w:id="1"/>
            <w:bookmarkEnd w:id="2"/>
            <w:r w:rsidR="00193428">
              <w:t xml:space="preserve"> </w:t>
            </w:r>
            <w:r w:rsidR="00D542E8">
              <w:t>Ma</w:t>
            </w:r>
            <w:r>
              <w:t>theus Ferreira Campos</w:t>
            </w:r>
            <w:r w:rsidR="00193428">
              <w:rPr>
                <w:vertAlign w:val="superscript"/>
              </w:rPr>
              <w:t>3</w:t>
            </w:r>
            <w:r w:rsidR="00193428">
              <w:t xml:space="preserve">, </w:t>
            </w:r>
            <w:r w:rsidR="00D542E8">
              <w:t>Guilherme Braga Pereira Braz</w:t>
            </w:r>
            <w:r w:rsidR="00193428">
              <w:rPr>
                <w:vertAlign w:val="superscript"/>
              </w:rPr>
              <w:t>4</w:t>
            </w:r>
            <w:r w:rsidR="00193428">
              <w:t xml:space="preserve">, </w:t>
            </w:r>
            <w:r w:rsidR="00D542E8">
              <w:t>Eduardo Lima do Carmo</w:t>
            </w:r>
            <w:r w:rsidR="00193428">
              <w:rPr>
                <w:vertAlign w:val="superscript"/>
              </w:rPr>
              <w:t>5</w:t>
            </w:r>
            <w:r w:rsidR="00193428">
              <w:t xml:space="preserve">, </w:t>
            </w:r>
            <w:r w:rsidR="00D542E8">
              <w:t>Camila Jorge Bernabé Ferreira</w:t>
            </w:r>
            <w:r w:rsidR="00193428">
              <w:rPr>
                <w:vertAlign w:val="superscript"/>
              </w:rPr>
              <w:t>6</w:t>
            </w:r>
          </w:p>
        </w:tc>
      </w:tr>
    </w:tbl>
    <w:p w14:paraId="0F7BA468" w14:textId="77777777" w:rsidR="00DE0774" w:rsidRDefault="00DE0774" w:rsidP="009B0C61">
      <w:pPr>
        <w:rPr>
          <w:rFonts w:eastAsia="Arial"/>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DE0774" w:rsidRPr="0079240C" w14:paraId="4534A129" w14:textId="77777777">
        <w:tc>
          <w:tcPr>
            <w:tcW w:w="9060" w:type="dxa"/>
          </w:tcPr>
          <w:p w14:paraId="155EDBD6" w14:textId="1EAA8738" w:rsidR="00DE0774" w:rsidRDefault="00193428" w:rsidP="009B0C61">
            <w:pPr>
              <w:pStyle w:val="FiliaoCICURV"/>
            </w:pPr>
            <w:bookmarkStart w:id="3" w:name="_Hlk176250928"/>
            <w:r>
              <w:rPr>
                <w:vertAlign w:val="superscript"/>
              </w:rPr>
              <w:t>1</w:t>
            </w:r>
            <w:r w:rsidR="00D542E8" w:rsidRPr="00D542E8">
              <w:t>Graduan</w:t>
            </w:r>
            <w:r w:rsidR="00D542E8">
              <w:t>d</w:t>
            </w:r>
            <w:r w:rsidR="0079240C">
              <w:t>a</w:t>
            </w:r>
            <w:r>
              <w:t>, Faculdade</w:t>
            </w:r>
            <w:r w:rsidR="00D542E8">
              <w:t xml:space="preserve"> de Agronomia</w:t>
            </w:r>
            <w:r>
              <w:t xml:space="preserve">, </w:t>
            </w:r>
            <w:r w:rsidR="00D542E8">
              <w:t>Universidade de Rio Verde</w:t>
            </w:r>
            <w:r>
              <w:t xml:space="preserve">, </w:t>
            </w:r>
            <w:r w:rsidR="00D542E8">
              <w:t>I</w:t>
            </w:r>
            <w:r>
              <w:t xml:space="preserve">niciação Científica – </w:t>
            </w:r>
            <w:r w:rsidR="00D542E8">
              <w:t>PIBIC/UniRV</w:t>
            </w:r>
            <w:r w:rsidR="00BD221F">
              <w:t>.</w:t>
            </w:r>
          </w:p>
          <w:p w14:paraId="7324611A" w14:textId="27432465" w:rsidR="00DE0774" w:rsidRPr="00DC4D19" w:rsidRDefault="00193428">
            <w:pPr>
              <w:pStyle w:val="FiliaoCICURV"/>
              <w:rPr>
                <w:lang w:val="en-US"/>
              </w:rPr>
            </w:pPr>
            <w:r w:rsidRPr="00DC4D19">
              <w:rPr>
                <w:vertAlign w:val="superscript"/>
                <w:lang w:val="en-US"/>
              </w:rPr>
              <w:t>2</w:t>
            </w:r>
            <w:r w:rsidR="00B0641B" w:rsidRPr="00DC4D19">
              <w:rPr>
                <w:vertAlign w:val="superscript"/>
                <w:lang w:val="en-US"/>
              </w:rPr>
              <w:t xml:space="preserve"> </w:t>
            </w:r>
            <w:r w:rsidR="00B0641B" w:rsidRPr="00DC4D19">
              <w:rPr>
                <w:lang w:val="en-US"/>
              </w:rPr>
              <w:t xml:space="preserve">Aluna de PhD, </w:t>
            </w:r>
            <w:r w:rsidR="00DC4D19" w:rsidRPr="00DC4D19">
              <w:rPr>
                <w:i/>
                <w:iCs/>
                <w:lang w:val="en-US"/>
              </w:rPr>
              <w:t>Department of Crop Soil and Environmental Sciences</w:t>
            </w:r>
            <w:r w:rsidR="00B0641B" w:rsidRPr="00DC4D19">
              <w:rPr>
                <w:i/>
                <w:iCs/>
                <w:lang w:val="en-US"/>
              </w:rPr>
              <w:t>, Auburn University</w:t>
            </w:r>
            <w:r w:rsidR="00DC4D19" w:rsidRPr="00DC4D19">
              <w:rPr>
                <w:lang w:val="en-US"/>
              </w:rPr>
              <w:t>.</w:t>
            </w:r>
          </w:p>
          <w:p w14:paraId="55AE23C5" w14:textId="057874BE" w:rsidR="00DE0774" w:rsidRDefault="00193428">
            <w:pPr>
              <w:pStyle w:val="FiliaoCICURV"/>
            </w:pPr>
            <w:r>
              <w:rPr>
                <w:vertAlign w:val="superscript"/>
              </w:rPr>
              <w:t>3</w:t>
            </w:r>
            <w:r w:rsidR="00B0641B">
              <w:rPr>
                <w:vertAlign w:val="superscript"/>
              </w:rPr>
              <w:t xml:space="preserve"> </w:t>
            </w:r>
            <w:r w:rsidR="00B0641B" w:rsidRPr="00D542E8">
              <w:t>Graduan</w:t>
            </w:r>
            <w:r w:rsidR="00B0641B">
              <w:t>do, Faculdade de Agronomia, Universidade de Rio Verde.</w:t>
            </w:r>
          </w:p>
          <w:p w14:paraId="149F2A31" w14:textId="4EF80D01" w:rsidR="00DE0774" w:rsidRDefault="00193428">
            <w:pPr>
              <w:pStyle w:val="FiliaoCICURV"/>
            </w:pPr>
            <w:r>
              <w:rPr>
                <w:vertAlign w:val="superscript"/>
              </w:rPr>
              <w:t>4</w:t>
            </w:r>
            <w:r w:rsidR="00B0641B">
              <w:rPr>
                <w:vertAlign w:val="superscript"/>
              </w:rPr>
              <w:t xml:space="preserve"> </w:t>
            </w:r>
            <w:r w:rsidR="00B0641B" w:rsidRPr="00B0641B">
              <w:t>Doutor</w:t>
            </w:r>
            <w:r w:rsidR="00B0641B">
              <w:t>, Pesquisador no Centro Tecnol</w:t>
            </w:r>
            <w:r w:rsidR="00DC4D19">
              <w:t>ógico Comigo</w:t>
            </w:r>
            <w:r>
              <w:t>.</w:t>
            </w:r>
          </w:p>
          <w:p w14:paraId="39224350" w14:textId="0233B2C6" w:rsidR="00DE0774" w:rsidRDefault="00193428">
            <w:pPr>
              <w:pStyle w:val="FiliaoCICURV"/>
            </w:pPr>
            <w:r>
              <w:rPr>
                <w:vertAlign w:val="superscript"/>
              </w:rPr>
              <w:t>5</w:t>
            </w:r>
            <w:r w:rsidR="00DC4D19">
              <w:t>Doutor, Professor na Faculdade de Agronomia, Universidade de Rio Verde</w:t>
            </w:r>
            <w:r>
              <w:t xml:space="preserve">. </w:t>
            </w:r>
          </w:p>
          <w:p w14:paraId="727D1FAA" w14:textId="08D52627" w:rsidR="00DE0774" w:rsidRDefault="00193428">
            <w:pPr>
              <w:pStyle w:val="FiliaoCICURV"/>
            </w:pPr>
            <w:r>
              <w:rPr>
                <w:vertAlign w:val="superscript"/>
              </w:rPr>
              <w:t>6</w:t>
            </w:r>
            <w:r>
              <w:t>Orientador</w:t>
            </w:r>
            <w:r w:rsidR="00DC4D19">
              <w:t>a, Doutora, Professora na Faculdade de Agronomia, Universidade de Rio Verde.</w:t>
            </w:r>
          </w:p>
        </w:tc>
      </w:tr>
    </w:tbl>
    <w:p w14:paraId="0F178B06" w14:textId="77777777" w:rsidR="00DE0774" w:rsidRDefault="00DE0774">
      <w:pPr>
        <w:tabs>
          <w:tab w:val="left" w:pos="567"/>
        </w:tabs>
        <w:ind w:hanging="2"/>
        <w:rPr>
          <w:rFonts w:eastAsia="Arial" w:cs="Arial"/>
          <w:sz w:val="16"/>
          <w:szCs w:val="16"/>
          <w:lang w:val="pt-BR"/>
        </w:rPr>
      </w:pPr>
    </w:p>
    <w:p w14:paraId="153D1297" w14:textId="77777777" w:rsidR="00DE0774" w:rsidRDefault="00193428">
      <w:pPr>
        <w:tabs>
          <w:tab w:val="left" w:pos="567"/>
        </w:tabs>
        <w:ind w:hanging="2"/>
        <w:rPr>
          <w:rFonts w:eastAsia="Arial" w:cs="Arial"/>
          <w:sz w:val="16"/>
          <w:szCs w:val="16"/>
          <w:vertAlign w:val="superscript"/>
          <w:lang w:val="pt-BR"/>
        </w:rPr>
      </w:pPr>
      <w:r>
        <w:rPr>
          <w:noProof/>
          <w:lang w:val="pt-BR"/>
        </w:rPr>
        <mc:AlternateContent>
          <mc:Choice Requires="wps">
            <w:drawing>
              <wp:anchor distT="0" distB="0" distL="114300" distR="114300" simplePos="0" relativeHeight="251659264" behindDoc="0" locked="0" layoutInCell="1" allowOverlap="1" wp14:anchorId="5C1EE7C9" wp14:editId="28AEE848">
                <wp:simplePos x="0" y="0"/>
                <wp:positionH relativeFrom="column">
                  <wp:posOffset>25400</wp:posOffset>
                </wp:positionH>
                <wp:positionV relativeFrom="paragraph">
                  <wp:posOffset>38100</wp:posOffset>
                </wp:positionV>
                <wp:extent cx="0" cy="12700"/>
                <wp:effectExtent l="0" t="0" r="0" b="0"/>
                <wp:wrapNone/>
                <wp:docPr id="1028" name="Conector de Seta Reta 1028"/>
                <wp:cNvGraphicFramePr/>
                <a:graphic xmlns:a="http://schemas.openxmlformats.org/drawingml/2006/main">
                  <a:graphicData uri="http://schemas.microsoft.com/office/word/2010/wordprocessingShape">
                    <wps:wsp>
                      <wps:cNvCnPr/>
                      <wps:spPr>
                        <a:xfrm>
                          <a:off x="2469768" y="3780000"/>
                          <a:ext cx="575246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psCustomData="http://www.wps.cn/officeDocument/2013/wpsCustomData"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6" o:spid="_x0000_s1026" o:spt="32" type="#_x0000_t32" style="position:absolute;left:0pt;margin-left:2pt;margin-top:3pt;height:1pt;width:0pt;z-index:251659264;mso-width-relative:page;mso-height-relative:page;" filled="f" stroked="t" coordsize="21600,21600" o:gfxdata="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">
                <v:fill on="f" focussize="0,0"/>
                <v:stroke color="#000000" miterlimit="8" joinstyle="miter"/>
                <v:imagedata o:title=""/>
                <o:lock v:ext="edit" aspectratio="f"/>
              </v:shape>
            </w:pict>
          </mc:Fallback>
        </mc:AlternateContent>
      </w:r>
    </w:p>
    <w:p w14:paraId="62FEE12D" w14:textId="77777777" w:rsidR="00DE0774" w:rsidRDefault="00DE0774">
      <w:pPr>
        <w:tabs>
          <w:tab w:val="left" w:pos="567"/>
        </w:tabs>
        <w:ind w:hanging="2"/>
        <w:rPr>
          <w:rFonts w:eastAsia="Arial" w:cs="Arial"/>
          <w:sz w:val="16"/>
          <w:szCs w:val="16"/>
          <w:lang w:val="pt-BR"/>
        </w:rPr>
        <w:sectPr w:rsidR="00DE0774" w:rsidSect="0077479C">
          <w:headerReference w:type="even" r:id="rId8"/>
          <w:headerReference w:type="default" r:id="rId9"/>
          <w:footerReference w:type="even" r:id="rId10"/>
          <w:footerReference w:type="default" r:id="rId11"/>
          <w:headerReference w:type="first" r:id="rId12"/>
          <w:footerReference w:type="first" r:id="rId13"/>
          <w:pgSz w:w="11906" w:h="16838"/>
          <w:pgMar w:top="961" w:right="1418" w:bottom="1418" w:left="1418" w:header="0" w:footer="680" w:gutter="0"/>
          <w:pgNumType w:start="1"/>
          <w:cols w:space="720"/>
          <w:docGrid w:linePitch="326"/>
        </w:sectPr>
      </w:pPr>
    </w:p>
    <w:p w14:paraId="67116FA2" w14:textId="77777777" w:rsidR="00DE0774" w:rsidRDefault="00193428" w:rsidP="00A54900">
      <w:pPr>
        <w:pStyle w:val="TtuloEditoresCICURV"/>
      </w:pPr>
      <w:bookmarkStart w:id="4" w:name="_Hlk176251725"/>
      <w:r>
        <w:t>Reitor:</w:t>
      </w:r>
    </w:p>
    <w:p w14:paraId="22F49676" w14:textId="202C8570" w:rsidR="00DE0774" w:rsidRDefault="00193428" w:rsidP="00C61029">
      <w:pPr>
        <w:pStyle w:val="EditoresCICURV"/>
      </w:pPr>
      <w:r>
        <w:t xml:space="preserve">Prof. </w:t>
      </w:r>
      <w:r w:rsidR="00813F66">
        <w:t>Dr</w:t>
      </w:r>
      <w:r>
        <w:t>. Alberto Barella Netto</w:t>
      </w:r>
    </w:p>
    <w:p w14:paraId="1C3CE2F8" w14:textId="77777777" w:rsidR="00DE0774" w:rsidRPr="00CF1F06" w:rsidRDefault="00DE0774" w:rsidP="00C61029">
      <w:pPr>
        <w:pStyle w:val="EditoresCICURV"/>
      </w:pPr>
    </w:p>
    <w:p w14:paraId="208A2425" w14:textId="6F9F5BB3" w:rsidR="00DE0774" w:rsidRDefault="00193428" w:rsidP="00A54900">
      <w:pPr>
        <w:pStyle w:val="TtuloEditoresCICURV"/>
      </w:pPr>
      <w:r>
        <w:t>Pró-Reitor de Pesquisa</w:t>
      </w:r>
      <w:r w:rsidR="003A5868">
        <w:t xml:space="preserve"> </w:t>
      </w:r>
      <w:r>
        <w:t>e Inovação:</w:t>
      </w:r>
    </w:p>
    <w:p w14:paraId="6E99546A" w14:textId="77777777" w:rsidR="00DE0774" w:rsidRDefault="00193428" w:rsidP="00C61029">
      <w:pPr>
        <w:pStyle w:val="EditoresCICURV"/>
      </w:pPr>
      <w:r>
        <w:t>Prof. Dr. Carlos César E. de Menezes</w:t>
      </w:r>
    </w:p>
    <w:p w14:paraId="0B485076" w14:textId="77777777" w:rsidR="00DE0774" w:rsidRDefault="00DE0774" w:rsidP="00C61029">
      <w:pPr>
        <w:pStyle w:val="EditoresCICURV"/>
      </w:pPr>
    </w:p>
    <w:p w14:paraId="70436C59" w14:textId="77777777" w:rsidR="00DE0774" w:rsidRDefault="00193428" w:rsidP="00A54900">
      <w:pPr>
        <w:pStyle w:val="TtuloEditoresCICURV"/>
      </w:pPr>
      <w:r>
        <w:t>Editor Geral:</w:t>
      </w:r>
    </w:p>
    <w:p w14:paraId="65A075FC" w14:textId="77777777" w:rsidR="00DE0774" w:rsidRDefault="00193428" w:rsidP="00A54900">
      <w:pPr>
        <w:pStyle w:val="EditoresCICURV"/>
      </w:pPr>
      <w:r>
        <w:t>Prof. Dra. Andrea Sayuri Silveira Dias Terada</w:t>
      </w:r>
    </w:p>
    <w:p w14:paraId="57DB34DD" w14:textId="77777777" w:rsidR="00DE0774" w:rsidRDefault="00DE0774" w:rsidP="00A54900">
      <w:pPr>
        <w:pStyle w:val="EditoresCICURV"/>
      </w:pPr>
    </w:p>
    <w:p w14:paraId="0F87E6D8" w14:textId="77777777" w:rsidR="00DE0774" w:rsidRDefault="00193428" w:rsidP="00A54900">
      <w:pPr>
        <w:pStyle w:val="TtuloEditoresCICURV"/>
      </w:pPr>
      <w:r>
        <w:t>Editores de Seção:</w:t>
      </w:r>
    </w:p>
    <w:p w14:paraId="6BAF96CD" w14:textId="77777777" w:rsidR="00DE0774" w:rsidRDefault="00193428" w:rsidP="00A54900">
      <w:pPr>
        <w:pStyle w:val="EditoresCICURV"/>
      </w:pPr>
      <w:r>
        <w:t>Profa. Dra. Ana Paula Fontana</w:t>
      </w:r>
    </w:p>
    <w:p w14:paraId="4A39285D" w14:textId="77777777" w:rsidR="00DE0774" w:rsidRDefault="00193428" w:rsidP="00A54900">
      <w:pPr>
        <w:pStyle w:val="EditoresCICURV"/>
      </w:pPr>
      <w:r>
        <w:t>Prof. Dr. Hidelberto Matos Silva</w:t>
      </w:r>
    </w:p>
    <w:p w14:paraId="0DCE5539" w14:textId="77777777" w:rsidR="00DE0774" w:rsidRDefault="00193428" w:rsidP="00A54900">
      <w:pPr>
        <w:pStyle w:val="EditoresCICURV"/>
      </w:pPr>
      <w:r>
        <w:t>Prof. Dr. Fábio Henrique Baia</w:t>
      </w:r>
    </w:p>
    <w:p w14:paraId="3FA83297" w14:textId="77777777" w:rsidR="00DE0774" w:rsidRDefault="00193428" w:rsidP="00A54900">
      <w:pPr>
        <w:pStyle w:val="EditoresCICURV"/>
      </w:pPr>
      <w:r>
        <w:t>Pra. Dra. Muriel Amaral Jacob</w:t>
      </w:r>
    </w:p>
    <w:p w14:paraId="32A99E40" w14:textId="77777777" w:rsidR="00DE0774" w:rsidRDefault="00193428" w:rsidP="00A54900">
      <w:pPr>
        <w:pStyle w:val="EditoresCICURV"/>
      </w:pPr>
      <w:r>
        <w:t xml:space="preserve">Prof. Dr. Matheus de Freitas Souza </w:t>
      </w:r>
    </w:p>
    <w:p w14:paraId="3028DD76" w14:textId="77777777" w:rsidR="00DE0774" w:rsidRDefault="00193428" w:rsidP="00A54900">
      <w:pPr>
        <w:pStyle w:val="EditoresCICURV"/>
      </w:pPr>
      <w:r>
        <w:t>Prof. Dr. Warley Augusto Pereira</w:t>
      </w:r>
    </w:p>
    <w:p w14:paraId="2AC4B409" w14:textId="77777777" w:rsidR="00DE0774" w:rsidRDefault="00DE0774" w:rsidP="00A54900">
      <w:pPr>
        <w:pStyle w:val="EditoresCICURV"/>
      </w:pPr>
    </w:p>
    <w:p w14:paraId="573B91A3" w14:textId="77777777" w:rsidR="00DE0774" w:rsidRDefault="00DE0774" w:rsidP="00A54900">
      <w:pPr>
        <w:pStyle w:val="EditoresCICURV"/>
      </w:pPr>
    </w:p>
    <w:p w14:paraId="234F0849" w14:textId="77777777" w:rsidR="00DE0774" w:rsidRDefault="00DE0774" w:rsidP="00A54900">
      <w:pPr>
        <w:pStyle w:val="EditoresCICURV"/>
      </w:pPr>
    </w:p>
    <w:p w14:paraId="29FDABD7" w14:textId="77777777" w:rsidR="00DE0774" w:rsidRDefault="00193428" w:rsidP="00A54900">
      <w:pPr>
        <w:pStyle w:val="TtuloEditoresCICURV"/>
      </w:pPr>
      <w:r>
        <w:t>Fomento:</w:t>
      </w:r>
    </w:p>
    <w:p w14:paraId="03B63059" w14:textId="77777777" w:rsidR="00DE0774" w:rsidRDefault="00193428" w:rsidP="00A54900">
      <w:pPr>
        <w:pStyle w:val="EditoresCICURV"/>
      </w:pPr>
      <w:r>
        <w:t>Programa PIBIC/PIVIC UniRV/CNPq 2023-2024</w:t>
      </w:r>
    </w:p>
    <w:p w14:paraId="7F69869E" w14:textId="247384A7" w:rsidR="00DE0774" w:rsidRPr="00730041" w:rsidRDefault="00193428" w:rsidP="00A54900">
      <w:pPr>
        <w:pStyle w:val="Resumo"/>
        <w:rPr>
          <w:rFonts w:eastAsia="Arial"/>
        </w:rPr>
      </w:pPr>
      <w:r w:rsidRPr="00730041">
        <w:br w:type="column"/>
      </w:r>
      <w:bookmarkEnd w:id="4"/>
      <w:r w:rsidR="00A54900" w:rsidRPr="00730041">
        <w:rPr>
          <w:b/>
          <w:bCs/>
        </w:rPr>
        <w:t>Resumo:</w:t>
      </w:r>
      <w:r w:rsidR="00A54900" w:rsidRPr="00730041">
        <w:t xml:space="preserve"> </w:t>
      </w:r>
      <w:r w:rsidR="00730041" w:rsidRPr="00730041">
        <w:rPr>
          <w:rFonts w:eastAsia="Arial"/>
        </w:rPr>
        <w:t>O comprometimento da qualidade física do solo em sistema de plantio direto (SPD) tem sido relacionado como uma das principais causas de degradação do solo e perda de produtividade na cultura da soja</w:t>
      </w:r>
      <w:r w:rsidR="000F099B" w:rsidRPr="00730041">
        <w:rPr>
          <w:rFonts w:eastAsia="Arial"/>
        </w:rPr>
        <w:t xml:space="preserve">. Nesse sentido, o objetivo do trabalho foi avaliar </w:t>
      </w:r>
      <w:r w:rsidR="00730041" w:rsidRPr="00730041">
        <w:rPr>
          <w:rFonts w:eastAsia="Arial"/>
        </w:rPr>
        <w:t xml:space="preserve">as características agronômicas da cultura da soja </w:t>
      </w:r>
      <w:r w:rsidR="000F099B" w:rsidRPr="00730041">
        <w:rPr>
          <w:rFonts w:eastAsia="Arial"/>
        </w:rPr>
        <w:t xml:space="preserve">quando se utilizam mecanismos de abertura de sulcos: tipo hastes sulcadoras e discos duplos. O estudo foi realizado em campo em delineamento de blocos casualizados. Foram comparados dois mecanismos de abertura de sulcos de semeadura, haste sulcadora e disco duplo com três repetições e três amostras por repetição. </w:t>
      </w:r>
      <w:r w:rsidR="00730041" w:rsidRPr="00730041">
        <w:rPr>
          <w:rFonts w:eastAsia="Arial"/>
        </w:rPr>
        <w:t>Ao longo do desenvolvimento da cultura foram avaliadas as características agronômicas e produtividade de soja. O uso de disco refletiu em menor população de plantas, altura inicial e massa de cem grãos da cultura da soja. Contudo, não houve efeito dos mecanismos sulcadores sobre a produtividade da soja por ter apresentado boa distribuição hídrica de chuva durante a safra.</w:t>
      </w:r>
    </w:p>
    <w:p w14:paraId="0E5E55C2" w14:textId="77777777" w:rsidR="00DE0774" w:rsidRPr="00F60C7D" w:rsidRDefault="00DE0774" w:rsidP="00C976E7">
      <w:pPr>
        <w:pStyle w:val="Resumo"/>
        <w:rPr>
          <w:rFonts w:eastAsia="Arial"/>
          <w:color w:val="FF0000"/>
        </w:rPr>
      </w:pPr>
    </w:p>
    <w:tbl>
      <w:tblPr>
        <w:tblStyle w:val="Tabelacomgrade"/>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F60C7D" w:rsidRPr="00F60C7D" w14:paraId="7A894FAE" w14:textId="77777777">
        <w:tc>
          <w:tcPr>
            <w:tcW w:w="4253" w:type="dxa"/>
          </w:tcPr>
          <w:p w14:paraId="2A3D8155" w14:textId="5323D110" w:rsidR="00FD40FC" w:rsidRPr="00F60C7D" w:rsidRDefault="00193428" w:rsidP="00FD40FC">
            <w:pPr>
              <w:pStyle w:val="Resumo"/>
              <w:rPr>
                <w:rFonts w:eastAsia="Arial"/>
                <w:color w:val="FF0000"/>
              </w:rPr>
            </w:pPr>
            <w:r w:rsidRPr="00730041">
              <w:rPr>
                <w:rFonts w:eastAsia="Arial"/>
                <w:b/>
              </w:rPr>
              <w:t xml:space="preserve">Palavras-Chave: </w:t>
            </w:r>
            <w:r w:rsidR="00FD40FC" w:rsidRPr="00730041">
              <w:rPr>
                <w:rFonts w:eastAsia="Arial"/>
                <w:i/>
                <w:iCs/>
              </w:rPr>
              <w:t>Glycine max</w:t>
            </w:r>
            <w:r w:rsidR="00FD40FC" w:rsidRPr="00730041">
              <w:rPr>
                <w:rFonts w:eastAsia="Arial"/>
              </w:rPr>
              <w:t>. Haste sulcadora. Qualidade f</w:t>
            </w:r>
            <w:r w:rsidR="00FD40FC" w:rsidRPr="00730041">
              <w:rPr>
                <w:rFonts w:eastAsia="Arial" w:hint="eastAsia"/>
              </w:rPr>
              <w:t>í</w:t>
            </w:r>
            <w:r w:rsidR="00FD40FC" w:rsidRPr="00730041">
              <w:rPr>
                <w:rFonts w:eastAsia="Arial"/>
              </w:rPr>
              <w:t>sica do solo. Descompacta</w:t>
            </w:r>
            <w:r w:rsidR="00FD40FC" w:rsidRPr="00730041">
              <w:rPr>
                <w:rFonts w:eastAsia="Arial" w:hint="eastAsia"/>
              </w:rPr>
              <w:t>çã</w:t>
            </w:r>
            <w:r w:rsidR="00FD40FC" w:rsidRPr="00730041">
              <w:rPr>
                <w:rFonts w:eastAsia="Arial"/>
              </w:rPr>
              <w:t>o</w:t>
            </w:r>
            <w:r w:rsidR="00FD40FC" w:rsidRPr="00F60C7D">
              <w:rPr>
                <w:rFonts w:eastAsia="Arial"/>
                <w:color w:val="FF0000"/>
              </w:rPr>
              <w:t>.</w:t>
            </w:r>
          </w:p>
          <w:p w14:paraId="07FFC731" w14:textId="41FAEBA0" w:rsidR="00DE0774" w:rsidRPr="00F60C7D" w:rsidRDefault="00DE0774" w:rsidP="00C976E7">
            <w:pPr>
              <w:pStyle w:val="Resumo"/>
              <w:rPr>
                <w:rFonts w:eastAsia="Arial"/>
                <w:color w:val="FF0000"/>
              </w:rPr>
            </w:pPr>
          </w:p>
        </w:tc>
      </w:tr>
    </w:tbl>
    <w:p w14:paraId="3678BDE2" w14:textId="335A2998" w:rsidR="00730041" w:rsidRPr="0077479C" w:rsidRDefault="00730041" w:rsidP="00730041">
      <w:pPr>
        <w:pStyle w:val="Resumo"/>
        <w:jc w:val="center"/>
        <w:rPr>
          <w:rFonts w:eastAsia="Arial" w:cs="Arial"/>
          <w:b/>
          <w:i/>
          <w:szCs w:val="20"/>
          <w:lang w:val="en-US"/>
        </w:rPr>
      </w:pPr>
      <w:r w:rsidRPr="0077479C">
        <w:rPr>
          <w:rFonts w:eastAsia="Arial" w:cs="Arial"/>
          <w:b/>
          <w:i/>
          <w:szCs w:val="20"/>
          <w:lang w:val="en-US"/>
        </w:rPr>
        <w:t>Use of seed furrow opening mechanisms influences the soybean agronomic performance in the Cerrado</w:t>
      </w:r>
    </w:p>
    <w:p w14:paraId="5BAB791B" w14:textId="77777777" w:rsidR="000B43D7" w:rsidRPr="0077479C" w:rsidRDefault="000B43D7" w:rsidP="00730041">
      <w:pPr>
        <w:pStyle w:val="Resumo"/>
        <w:jc w:val="center"/>
        <w:rPr>
          <w:rFonts w:eastAsia="Arial" w:cs="Arial"/>
          <w:b/>
          <w:i/>
          <w:szCs w:val="20"/>
          <w:lang w:val="en-US"/>
        </w:rPr>
      </w:pPr>
    </w:p>
    <w:p w14:paraId="7062491E" w14:textId="0D4C35D0" w:rsidR="0077479C" w:rsidRPr="0077479C" w:rsidRDefault="00193428" w:rsidP="00C976E7">
      <w:pPr>
        <w:pStyle w:val="Resumo"/>
        <w:rPr>
          <w:rFonts w:eastAsia="Arial"/>
          <w:i/>
          <w:lang w:val="en-US"/>
        </w:rPr>
        <w:sectPr w:rsidR="0077479C" w:rsidRPr="0077479C">
          <w:type w:val="continuous"/>
          <w:pgSz w:w="11906" w:h="16838"/>
          <w:pgMar w:top="1418" w:right="1418" w:bottom="1418" w:left="1418" w:header="0" w:footer="709" w:gutter="0"/>
          <w:cols w:num="2" w:space="720" w:equalWidth="0">
            <w:col w:w="4336" w:space="397"/>
            <w:col w:w="4336"/>
          </w:cols>
        </w:sectPr>
      </w:pPr>
      <w:r w:rsidRPr="0077479C">
        <w:rPr>
          <w:rFonts w:eastAsia="Arial"/>
          <w:b/>
          <w:i/>
          <w:lang w:val="en-US"/>
        </w:rPr>
        <w:t>Abstract:</w:t>
      </w:r>
      <w:r w:rsidRPr="0077479C">
        <w:rPr>
          <w:rFonts w:eastAsia="Arial"/>
          <w:i/>
          <w:lang w:val="en-US"/>
        </w:rPr>
        <w:t xml:space="preserve"> </w:t>
      </w:r>
      <w:r w:rsidR="00730041" w:rsidRPr="0077479C">
        <w:rPr>
          <w:rFonts w:eastAsia="Arial"/>
          <w:i/>
          <w:lang w:val="en-US"/>
        </w:rPr>
        <w:t xml:space="preserve">The impairment of soil physical quality in the no-tillage system (NTS) has been related as one of the main causes of soil degradation and loss of yield in soybean crops. In this sense, the objective of the study was to evaluate the agronomic characteristics of soybean crops when furrow opening mechanisms are used: narrow tyne furrow and double disc. The study was carried out in the field in a randomized block design. </w:t>
      </w:r>
      <w:r w:rsidR="0077479C" w:rsidRPr="0077479C">
        <w:rPr>
          <w:rFonts w:eastAsia="Arial"/>
          <w:i/>
          <w:lang w:val="en-US"/>
        </w:rPr>
        <w:t xml:space="preserve"> </w:t>
      </w:r>
      <w:r w:rsidR="00730041" w:rsidRPr="0077479C">
        <w:rPr>
          <w:rFonts w:eastAsia="Arial"/>
          <w:i/>
          <w:lang w:val="en-US"/>
        </w:rPr>
        <w:t>Two</w:t>
      </w:r>
      <w:r w:rsidR="0077479C" w:rsidRPr="0077479C">
        <w:rPr>
          <w:rFonts w:eastAsia="Arial"/>
          <w:i/>
          <w:lang w:val="en-US"/>
        </w:rPr>
        <w:t xml:space="preserve"> </w:t>
      </w:r>
      <w:r w:rsidR="00730041" w:rsidRPr="0077479C">
        <w:rPr>
          <w:rFonts w:eastAsia="Arial"/>
          <w:i/>
          <w:lang w:val="en-US"/>
        </w:rPr>
        <w:t xml:space="preserve"> furrow opening</w:t>
      </w:r>
      <w:r w:rsidR="0077479C" w:rsidRPr="0077479C">
        <w:rPr>
          <w:rFonts w:eastAsia="Arial"/>
          <w:i/>
          <w:lang w:val="en-US"/>
        </w:rPr>
        <w:t xml:space="preserve"> </w:t>
      </w:r>
      <w:r w:rsidR="00730041" w:rsidRPr="0077479C">
        <w:rPr>
          <w:rFonts w:eastAsia="Arial"/>
          <w:i/>
          <w:lang w:val="en-US"/>
        </w:rPr>
        <w:t xml:space="preserve"> mechanisms</w:t>
      </w:r>
      <w:r w:rsidR="0077479C" w:rsidRPr="0077479C">
        <w:rPr>
          <w:rFonts w:eastAsia="Arial"/>
          <w:i/>
          <w:lang w:val="en-US"/>
        </w:rPr>
        <w:t xml:space="preserve"> </w:t>
      </w:r>
      <w:r w:rsidR="00730041" w:rsidRPr="0077479C">
        <w:rPr>
          <w:rFonts w:eastAsia="Arial"/>
          <w:i/>
          <w:lang w:val="en-US"/>
        </w:rPr>
        <w:t xml:space="preserve"> were </w:t>
      </w:r>
    </w:p>
    <w:p w14:paraId="15CD2670" w14:textId="3D974C98" w:rsidR="00DE0774" w:rsidRPr="0077479C" w:rsidRDefault="00730041" w:rsidP="00C976E7">
      <w:pPr>
        <w:pStyle w:val="Resumo"/>
        <w:rPr>
          <w:rFonts w:eastAsia="Arial"/>
          <w:i/>
          <w:lang w:val="en-US"/>
        </w:rPr>
      </w:pPr>
      <w:r w:rsidRPr="0077479C">
        <w:rPr>
          <w:rFonts w:eastAsia="Arial"/>
          <w:i/>
          <w:lang w:val="en-US"/>
        </w:rPr>
        <w:lastRenderedPageBreak/>
        <w:t>compared, narrow tyne and double disc, with three rep</w:t>
      </w:r>
      <w:r w:rsidR="001F0CB5" w:rsidRPr="0077479C">
        <w:rPr>
          <w:rFonts w:eastAsia="Arial"/>
          <w:i/>
          <w:lang w:val="en-US"/>
        </w:rPr>
        <w:t>etitions</w:t>
      </w:r>
      <w:r w:rsidRPr="0077479C">
        <w:rPr>
          <w:rFonts w:eastAsia="Arial"/>
          <w:i/>
          <w:lang w:val="en-US"/>
        </w:rPr>
        <w:t xml:space="preserve"> and three samples per rep</w:t>
      </w:r>
      <w:r w:rsidR="001F0CB5" w:rsidRPr="0077479C">
        <w:rPr>
          <w:rFonts w:eastAsia="Arial"/>
          <w:i/>
          <w:lang w:val="en-US"/>
        </w:rPr>
        <w:t>etition</w:t>
      </w:r>
      <w:r w:rsidRPr="0077479C">
        <w:rPr>
          <w:rFonts w:eastAsia="Arial"/>
          <w:i/>
          <w:lang w:val="en-US"/>
        </w:rPr>
        <w:t xml:space="preserve">. Throughout the development of the crop, the agronomic characteristics and productivity of soybean were evaluated. The use of the disc reflected in lower plant population, </w:t>
      </w:r>
      <w:r w:rsidR="001F0CB5" w:rsidRPr="0077479C">
        <w:rPr>
          <w:rFonts w:eastAsia="Arial"/>
          <w:i/>
          <w:lang w:val="en-US"/>
        </w:rPr>
        <w:t xml:space="preserve">lower </w:t>
      </w:r>
      <w:r w:rsidRPr="0077479C">
        <w:rPr>
          <w:rFonts w:eastAsia="Arial"/>
          <w:i/>
          <w:lang w:val="en-US"/>
        </w:rPr>
        <w:t xml:space="preserve">initial height and mass of one hundred grains of the soybean crop. However, there was no effect of the furrowing mechanisms on soybean </w:t>
      </w:r>
      <w:r w:rsidR="001F0CB5" w:rsidRPr="0077479C">
        <w:rPr>
          <w:rFonts w:eastAsia="Arial"/>
          <w:i/>
          <w:lang w:val="en-US"/>
        </w:rPr>
        <w:t>yield</w:t>
      </w:r>
      <w:r w:rsidRPr="0077479C">
        <w:rPr>
          <w:rFonts w:eastAsia="Arial"/>
          <w:i/>
          <w:lang w:val="en-US"/>
        </w:rPr>
        <w:t xml:space="preserve"> because it presented good water distribution of rainfall during the harvest.</w:t>
      </w:r>
    </w:p>
    <w:p w14:paraId="7A486595" w14:textId="77777777" w:rsidR="00DE0774" w:rsidRPr="0077479C" w:rsidRDefault="00DE0774" w:rsidP="00C976E7">
      <w:pPr>
        <w:pStyle w:val="Resumo"/>
        <w:rPr>
          <w:rFonts w:eastAsia="Arial" w:cs="Arial"/>
          <w:i/>
          <w:szCs w:val="20"/>
          <w:lang w:val="en-US"/>
        </w:rPr>
      </w:pPr>
    </w:p>
    <w:tbl>
      <w:tblPr>
        <w:tblStyle w:val="Tabelacomgrade"/>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tblGrid>
      <w:tr w:rsidR="009D6693" w:rsidRPr="0077479C" w14:paraId="07592DD6" w14:textId="77777777" w:rsidTr="0077479C">
        <w:trPr>
          <w:trHeight w:val="278"/>
        </w:trPr>
        <w:tc>
          <w:tcPr>
            <w:tcW w:w="9000" w:type="dxa"/>
          </w:tcPr>
          <w:p w14:paraId="466E0F99" w14:textId="2C392230" w:rsidR="00DE0774" w:rsidRPr="0077479C" w:rsidRDefault="00193428" w:rsidP="00FD40FC">
            <w:pPr>
              <w:pStyle w:val="Resumo"/>
              <w:rPr>
                <w:rFonts w:eastAsia="Arial"/>
                <w:i/>
              </w:rPr>
            </w:pPr>
            <w:r w:rsidRPr="0077479C">
              <w:rPr>
                <w:rFonts w:eastAsia="Arial"/>
                <w:b/>
                <w:bCs/>
                <w:i/>
                <w:lang w:val="en-US"/>
              </w:rPr>
              <w:t>Keywords:</w:t>
            </w:r>
            <w:r w:rsidRPr="0077479C">
              <w:rPr>
                <w:rFonts w:eastAsia="Arial"/>
                <w:i/>
                <w:lang w:val="en-US"/>
              </w:rPr>
              <w:t xml:space="preserve"> </w:t>
            </w:r>
            <w:r w:rsidR="00FD40FC" w:rsidRPr="0077479C">
              <w:rPr>
                <w:rFonts w:eastAsia="Arial"/>
                <w:i/>
                <w:iCs/>
                <w:lang w:val="en-US"/>
              </w:rPr>
              <w:t>Glycine max</w:t>
            </w:r>
            <w:r w:rsidR="00FD40FC" w:rsidRPr="0077479C">
              <w:rPr>
                <w:rFonts w:eastAsia="Arial"/>
                <w:i/>
                <w:lang w:val="en-US"/>
              </w:rPr>
              <w:t>. Narrow tyne furrow. Soil physical quality. Decompaction.</w:t>
            </w:r>
          </w:p>
        </w:tc>
      </w:tr>
    </w:tbl>
    <w:p w14:paraId="3D7F1DA6" w14:textId="77777777" w:rsidR="00DE0774" w:rsidRPr="00FD1D5E" w:rsidRDefault="00DE0774" w:rsidP="000309A3">
      <w:pPr>
        <w:rPr>
          <w:rFonts w:eastAsia="Arial"/>
        </w:rPr>
      </w:pPr>
    </w:p>
    <w:bookmarkEnd w:id="3"/>
    <w:p w14:paraId="50A135E1" w14:textId="77777777" w:rsidR="00DE0774" w:rsidRPr="00FD1D5E" w:rsidRDefault="00193428">
      <w:pPr>
        <w:pStyle w:val="TtuloCICURV"/>
        <w:rPr>
          <w:rFonts w:eastAsia="Arial"/>
          <w:lang w:val="pt-BR"/>
        </w:rPr>
      </w:pPr>
      <w:r w:rsidRPr="00FD1D5E">
        <w:rPr>
          <w:rFonts w:eastAsia="Arial"/>
          <w:lang w:val="pt-BR"/>
        </w:rPr>
        <w:t>Introdução</w:t>
      </w:r>
    </w:p>
    <w:p w14:paraId="01ED4325" w14:textId="23E48C3C" w:rsidR="00B36DC4" w:rsidRPr="00FD1D5E" w:rsidRDefault="00B36DC4" w:rsidP="00B36DC4">
      <w:pPr>
        <w:pStyle w:val="TextogeralCICURV"/>
        <w:rPr>
          <w:color w:val="auto"/>
        </w:rPr>
      </w:pPr>
      <w:r w:rsidRPr="00FD1D5E">
        <w:rPr>
          <w:color w:val="auto"/>
        </w:rPr>
        <w:t>Atualmente, estima-se que mais de 100 milhões de hectares no mundo são cultivados sob sistema plantio direto (SPD) (Nunes et al., 2015), sendo que, aproximadamente um terço dessa área está localizada no Brasil. A utilização do SPD tem sido efetiva para a conservação do solo e da água e para a sustentabilidade dos sistemas de produção, com vantagens de redução no consumo de energia por máquinas e equipamentos e de emissão de gases com efeito estufa (Silva et al., 2014).</w:t>
      </w:r>
    </w:p>
    <w:p w14:paraId="7DF44E32" w14:textId="0D4BEA93" w:rsidR="00B36DC4" w:rsidRPr="00FD1D5E" w:rsidRDefault="00B36DC4" w:rsidP="00B36DC4">
      <w:pPr>
        <w:pStyle w:val="TextogeralCICURV"/>
        <w:rPr>
          <w:color w:val="auto"/>
        </w:rPr>
      </w:pPr>
      <w:r w:rsidRPr="00FD1D5E">
        <w:rPr>
          <w:color w:val="auto"/>
        </w:rPr>
        <w:t>A mobilização do solo no SPD é restrita ao local de abertura do sulco para a deposição de sementes e fertilizantes por meio de semeadoras-adubadoras, para manter a maior parte do solo coberto. Nesse contexto, frequentemente tem sido reportado a ocorrência de compactação do solo em muitas áreas manejadas sob SPD no Brasil, sendo que a camada compactada está localizada entre 0,07 e 0,20 m de profundidade, fato que promove a concentração das raízes na superfície do solo, deixando as culturas mais susceptíveis a perdas de produção, mesmo sob curtos períodos de déficit hídrico (Nunes et al., 2015).</w:t>
      </w:r>
    </w:p>
    <w:p w14:paraId="6292D4C7" w14:textId="30B96C1A" w:rsidR="00B36DC4" w:rsidRPr="00FD1D5E" w:rsidRDefault="00B36DC4" w:rsidP="00B36DC4">
      <w:pPr>
        <w:pStyle w:val="TextogeralCICURV"/>
        <w:rPr>
          <w:color w:val="auto"/>
        </w:rPr>
      </w:pPr>
      <w:r w:rsidRPr="00FD1D5E">
        <w:rPr>
          <w:color w:val="auto"/>
        </w:rPr>
        <w:t>Em solos compactados, as semeadoras-adubadoras podem amenizar os efeitos das alterações estruturais do solo no desenvolvimento das plantas por meio de mecanismos de abertura de sulco para a deposição de fertilizantes e sementes</w:t>
      </w:r>
      <w:r w:rsidR="00F6703D">
        <w:rPr>
          <w:color w:val="auto"/>
        </w:rPr>
        <w:t xml:space="preserve"> (Ferreira et al., 2023). </w:t>
      </w:r>
      <w:r w:rsidRPr="00FD1D5E">
        <w:rPr>
          <w:color w:val="auto"/>
        </w:rPr>
        <w:t>Hansel et al. (2017) relataram que a melhoria no ambiente físico do solo obtida pela mobilização do solo na linha de semeadura reduz o risco de estresse hídrico e aumenta a resiliência da cultura da soja à falta de água. Sendo assim, o objetivo do presente estudo trabalho foi avaliar as características agronômicas da cultura da soja quando se utilizam mecanismos de abertura de sulcos: tipo hastes sulcadoras e discos duplos.</w:t>
      </w:r>
    </w:p>
    <w:p w14:paraId="46CCFB30" w14:textId="77777777" w:rsidR="00B36DC4" w:rsidRDefault="00B36DC4" w:rsidP="00B36DC4">
      <w:pPr>
        <w:pStyle w:val="TextogeralCICURV"/>
        <w:rPr>
          <w:color w:val="auto"/>
        </w:rPr>
      </w:pPr>
    </w:p>
    <w:p w14:paraId="696807D1" w14:textId="35F9AF75" w:rsidR="00DE0774" w:rsidRPr="00B36DC4" w:rsidRDefault="00193428" w:rsidP="00B36DC4">
      <w:pPr>
        <w:pStyle w:val="TextogeralCICURV"/>
        <w:jc w:val="center"/>
        <w:rPr>
          <w:b/>
          <w:color w:val="auto"/>
        </w:rPr>
      </w:pPr>
      <w:r w:rsidRPr="00B36DC4">
        <w:rPr>
          <w:b/>
          <w:color w:val="auto"/>
        </w:rPr>
        <w:t>Material e Métodos</w:t>
      </w:r>
    </w:p>
    <w:p w14:paraId="431B7D8B" w14:textId="23644D26" w:rsidR="00DE0774" w:rsidRPr="000B43D7" w:rsidRDefault="00912272" w:rsidP="0069446F">
      <w:pPr>
        <w:pStyle w:val="TextogeralCICURV"/>
        <w:rPr>
          <w:color w:val="auto"/>
        </w:rPr>
      </w:pPr>
      <w:r w:rsidRPr="000B43D7">
        <w:rPr>
          <w:color w:val="auto"/>
        </w:rPr>
        <w:t>O experimento foi conduzido no município de Rio Verde - Goiás em área de campo experimental da Universidade de Rio Verde</w:t>
      </w:r>
      <w:r w:rsidR="0069446F" w:rsidRPr="000B43D7">
        <w:rPr>
          <w:color w:val="auto"/>
        </w:rPr>
        <w:t xml:space="preserve">, </w:t>
      </w:r>
      <w:r w:rsidRPr="000B43D7">
        <w:rPr>
          <w:color w:val="auto"/>
        </w:rPr>
        <w:t>em solo classificado como Latossolo Vermelho Distroférrico (S</w:t>
      </w:r>
      <w:r w:rsidR="0069446F" w:rsidRPr="000B43D7">
        <w:rPr>
          <w:color w:val="auto"/>
        </w:rPr>
        <w:t>antos</w:t>
      </w:r>
      <w:r w:rsidRPr="000B43D7">
        <w:rPr>
          <w:color w:val="auto"/>
        </w:rPr>
        <w:t xml:space="preserve"> et al., 2018), contendo 495, 50 e 455 g kg</w:t>
      </w:r>
      <w:r w:rsidRPr="000B43D7">
        <w:rPr>
          <w:color w:val="auto"/>
          <w:vertAlign w:val="superscript"/>
        </w:rPr>
        <w:t>-1</w:t>
      </w:r>
      <w:r w:rsidRPr="000B43D7">
        <w:rPr>
          <w:color w:val="auto"/>
        </w:rPr>
        <w:t xml:space="preserve"> de areia, silte e argila, respectivamente, caracterizando a textura argilo-arenosa, sob relevo plano a suave ondulado (declividade média de 3%)</w:t>
      </w:r>
      <w:r w:rsidR="0069446F" w:rsidRPr="000B43D7">
        <w:rPr>
          <w:color w:val="auto"/>
        </w:rPr>
        <w:t>.</w:t>
      </w:r>
      <w:r w:rsidR="00A86ADA" w:rsidRPr="000B43D7">
        <w:rPr>
          <w:color w:val="auto"/>
        </w:rPr>
        <w:t xml:space="preserve"> </w:t>
      </w:r>
      <w:r w:rsidRPr="000B43D7">
        <w:rPr>
          <w:color w:val="auto"/>
        </w:rPr>
        <w:t>Os dados de precipitação durante o ciclo da cultura da soja podem ser observados na Figura 1.</w:t>
      </w:r>
    </w:p>
    <w:p w14:paraId="71AD1F93" w14:textId="77777777" w:rsidR="006F566E" w:rsidRPr="000B43D7" w:rsidRDefault="006F566E" w:rsidP="006F566E">
      <w:pPr>
        <w:pStyle w:val="TextogeralCICURV"/>
        <w:rPr>
          <w:color w:val="auto"/>
        </w:rPr>
      </w:pPr>
      <w:r w:rsidRPr="000B43D7">
        <w:rPr>
          <w:color w:val="auto"/>
        </w:rPr>
        <w:t>O experimento foi realizado no período correspondente à safra de verão de 2021/2022. A semeadura da soja foi realizada no dia 18 de novembro de 2021 com a cultivar DM 68i69 IPRO</w:t>
      </w:r>
      <w:r w:rsidRPr="000B43D7">
        <w:rPr>
          <w:color w:val="auto"/>
          <w:vertAlign w:val="superscript"/>
        </w:rPr>
        <w:t>®</w:t>
      </w:r>
      <w:r w:rsidRPr="000B43D7">
        <w:rPr>
          <w:color w:val="auto"/>
        </w:rPr>
        <w:t xml:space="preserve">, em espaçamento entrelinhas de 0,5 m, adotando-se densidade de sementes recomendada de 17 sementes m-¹. A cultivar possui a característica de precocidade (grupo de maturação 6.8), de crescimento indeterminado e de alto potencial produtivo. O tratamento de sementes utilizado foi o fornecido pela própria sementeira. </w:t>
      </w:r>
    </w:p>
    <w:p w14:paraId="2FD07634" w14:textId="77777777" w:rsidR="006F566E" w:rsidRPr="000B43D7" w:rsidRDefault="006F566E" w:rsidP="006F566E">
      <w:pPr>
        <w:pStyle w:val="TextogeralCICURV"/>
        <w:rPr>
          <w:color w:val="auto"/>
        </w:rPr>
      </w:pPr>
      <w:r w:rsidRPr="000B43D7">
        <w:rPr>
          <w:color w:val="auto"/>
        </w:rPr>
        <w:t>O delineamento utilizado foi em blocos casualizados com três repetições e três amostras por repetições para composição do experimento. Os tratamentos foram constituídos da comparação de dois mecanismos de abertura de sulco de semeadura acoplados a uma semeadora/adubadora equipada com discos de corte frontal para o corte da palhada e os seguintes tratamentos: disco duplo para deposição de sementes e fertilizantes com profundidade de operação de aproximadamente 0,05 m e no tratamento de haste sulcadora, os discos duplos foram substituídos por hastes com formato parabólico, ângulo de ataque de 20º, espessura da ponteira de 30 mm e profundidade de penetração entre 0,10 e 0,12 m para a deposição do fertilizante. As unidades experimentais foram compostas por 10 linhas de semeadura de soja, com 7,5 m de comprimento, totalizando área bruta de 37,5 m</w:t>
      </w:r>
      <w:r w:rsidRPr="000B43D7">
        <w:rPr>
          <w:color w:val="auto"/>
          <w:vertAlign w:val="superscript"/>
        </w:rPr>
        <w:t>2</w:t>
      </w:r>
      <w:r w:rsidRPr="000B43D7">
        <w:rPr>
          <w:color w:val="auto"/>
        </w:rPr>
        <w:t xml:space="preserve">.  </w:t>
      </w:r>
    </w:p>
    <w:p w14:paraId="03780E7D" w14:textId="77777777" w:rsidR="006F566E" w:rsidRPr="000B43D7" w:rsidRDefault="006F566E" w:rsidP="0069446F">
      <w:pPr>
        <w:pStyle w:val="TextogeralCICURV"/>
        <w:rPr>
          <w:color w:val="auto"/>
        </w:rPr>
      </w:pPr>
    </w:p>
    <w:p w14:paraId="36819021" w14:textId="2FF46EB9" w:rsidR="00912272" w:rsidRPr="000B43D7" w:rsidRDefault="00912272" w:rsidP="00653196">
      <w:pPr>
        <w:pStyle w:val="TextogeralCICURV"/>
        <w:jc w:val="center"/>
        <w:rPr>
          <w:color w:val="auto"/>
        </w:rPr>
      </w:pPr>
      <w:r w:rsidRPr="000B43D7">
        <w:rPr>
          <w:noProof/>
          <w:color w:val="auto"/>
        </w:rPr>
        <w:lastRenderedPageBreak/>
        <w:drawing>
          <wp:inline distT="0" distB="0" distL="0" distR="0" wp14:anchorId="4F488107" wp14:editId="331428DF">
            <wp:extent cx="4226943" cy="1958197"/>
            <wp:effectExtent l="0" t="0" r="2540" b="4445"/>
            <wp:docPr id="2" name="Gráfico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60A8EF-D317-44FB-B2A8-2B2C87E157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AE822E" w14:textId="77777777" w:rsidR="0069446F" w:rsidRPr="000B43D7" w:rsidRDefault="00912272" w:rsidP="00C43084">
      <w:pPr>
        <w:pStyle w:val="TextogeralCICURV"/>
        <w:ind w:firstLine="0"/>
        <w:rPr>
          <w:color w:val="auto"/>
        </w:rPr>
      </w:pPr>
      <w:r w:rsidRPr="000B43D7">
        <w:rPr>
          <w:b/>
          <w:color w:val="auto"/>
        </w:rPr>
        <w:t>Figura 1.</w:t>
      </w:r>
      <w:r w:rsidRPr="000B43D7">
        <w:rPr>
          <w:color w:val="auto"/>
        </w:rPr>
        <w:t xml:space="preserve"> Temperatura média e precipitações observadas durante o período de condução a campo do experimento realizado com soja em solo semeado com haste e disco. Rio Verde (GO),</w:t>
      </w:r>
      <w:r w:rsidR="00E6618C" w:rsidRPr="000B43D7">
        <w:rPr>
          <w:color w:val="auto"/>
        </w:rPr>
        <w:t xml:space="preserve"> </w:t>
      </w:r>
      <w:r w:rsidRPr="000B43D7">
        <w:rPr>
          <w:color w:val="auto"/>
        </w:rPr>
        <w:t xml:space="preserve">2021/2022. </w:t>
      </w:r>
      <w:r w:rsidR="0069446F" w:rsidRPr="000B43D7">
        <w:rPr>
          <w:color w:val="auto"/>
        </w:rPr>
        <w:t>Fonte: INMET - Instituto Nacional de Meteorologia – Rio Verde – GO</w:t>
      </w:r>
    </w:p>
    <w:p w14:paraId="7EA2F59A" w14:textId="77777777" w:rsidR="00912272" w:rsidRPr="000B43D7" w:rsidRDefault="00912272" w:rsidP="00912272">
      <w:pPr>
        <w:pStyle w:val="TextogeralCICURV"/>
        <w:rPr>
          <w:color w:val="auto"/>
        </w:rPr>
      </w:pPr>
    </w:p>
    <w:p w14:paraId="47F7FC18" w14:textId="2E6EDE53" w:rsidR="000B43D7" w:rsidRPr="000B43D7" w:rsidRDefault="000B43D7" w:rsidP="000B43D7">
      <w:pPr>
        <w:pStyle w:val="TextogeralCICURV"/>
        <w:rPr>
          <w:color w:val="auto"/>
        </w:rPr>
      </w:pPr>
      <w:r w:rsidRPr="000B43D7">
        <w:rPr>
          <w:color w:val="auto"/>
        </w:rPr>
        <w:t xml:space="preserve">Ao longo do desenvolvimento da cultura da soja foram avaliadas as variáveis-respostas da soja, adotando-se procedimentos iguais para cada unidade experimental, sendo elas: altura de plantas inicial e final, população de plantas inicial e final, número total de vagens, massa de mil grãos e produtividade de grãos. Para avaliação de altura de plantas (aos 10 dias após a emergência (DAE) e final) foram selecionadas cinco plantas por parcela e utilizando régua graduada medindo do colo da planta até o último trifólio completamente expandido. Para população de plantas (inicial aos 10 DAE e final), foi realizada a contagem do número de plantas por parcela e extrapolado para plantas por hectare. O número total de vagens foi avaliado na ocasião da colheita em cinco plantas por parcela procedendo-se a contagem do número de vagens nas hastes principal e secundárias. </w:t>
      </w:r>
    </w:p>
    <w:p w14:paraId="0F8F0EF8" w14:textId="1049256D" w:rsidR="000B43D7" w:rsidRPr="000B43D7" w:rsidRDefault="000B43D7" w:rsidP="000B43D7">
      <w:pPr>
        <w:pStyle w:val="TextogeralCICURV"/>
        <w:rPr>
          <w:color w:val="auto"/>
        </w:rPr>
      </w:pPr>
      <w:r w:rsidRPr="000B43D7">
        <w:rPr>
          <w:color w:val="auto"/>
        </w:rPr>
        <w:t xml:space="preserve">No dia 08 de março de 2022 quando as plantas atingiram a maturidade fisiológica a colheita da soja foi realizada, e logo após foi executada a pesagem para avaliações de massa de cem grãos e também da produtividade de grãos que foi determinada por meio de pesagem dos grãos das plantas colhidas na área útil da parcela com posterior correção de umidade para 13%. </w:t>
      </w:r>
    </w:p>
    <w:p w14:paraId="59246E1F" w14:textId="3D1E0AAB" w:rsidR="00912272" w:rsidRPr="000B43D7" w:rsidRDefault="00912272" w:rsidP="00653196">
      <w:pPr>
        <w:pStyle w:val="TextogeralCICURV"/>
        <w:rPr>
          <w:color w:val="auto"/>
        </w:rPr>
      </w:pPr>
      <w:r w:rsidRPr="000B43D7">
        <w:rPr>
          <w:color w:val="auto"/>
        </w:rPr>
        <w:t>A análise estatística foi realizada no programa computacional Sisvar (F</w:t>
      </w:r>
      <w:r w:rsidR="00487A9D" w:rsidRPr="000B43D7">
        <w:rPr>
          <w:color w:val="auto"/>
        </w:rPr>
        <w:t>erreira</w:t>
      </w:r>
      <w:r w:rsidRPr="000B43D7">
        <w:rPr>
          <w:color w:val="auto"/>
        </w:rPr>
        <w:t>, 2011).  Inicialmente foi realizado a análise de variância de cada variável e quando constatada significância comparados pelo teste LSD de Fisher a 5% de probabilidade para a comparação das médias.</w:t>
      </w:r>
    </w:p>
    <w:p w14:paraId="2190E56A" w14:textId="77777777" w:rsidR="00912272" w:rsidRPr="00F60C7D" w:rsidRDefault="00912272" w:rsidP="00912272">
      <w:pPr>
        <w:pStyle w:val="TextogeralCICURV"/>
        <w:rPr>
          <w:color w:val="FF0000"/>
        </w:rPr>
      </w:pPr>
    </w:p>
    <w:p w14:paraId="10AC0C2D" w14:textId="77777777" w:rsidR="00DE0774" w:rsidRPr="00F60C7D" w:rsidRDefault="00193428" w:rsidP="00F60C7D">
      <w:pPr>
        <w:pStyle w:val="TtuloCICURV"/>
        <w:rPr>
          <w:rFonts w:eastAsia="Arial"/>
          <w:lang w:val="pt-BR"/>
        </w:rPr>
      </w:pPr>
      <w:r w:rsidRPr="00F60C7D">
        <w:rPr>
          <w:rFonts w:eastAsia="Arial"/>
          <w:lang w:val="pt-BR"/>
        </w:rPr>
        <w:t>Resultados e Discussão</w:t>
      </w:r>
    </w:p>
    <w:p w14:paraId="68E18362" w14:textId="10B58207" w:rsidR="00F60C7D" w:rsidRPr="00F60C7D" w:rsidRDefault="00F60C7D" w:rsidP="00F60C7D">
      <w:pPr>
        <w:ind w:firstLine="708"/>
        <w:rPr>
          <w:rFonts w:eastAsia="Calibri" w:cs="Arial"/>
          <w:szCs w:val="20"/>
          <w:lang w:val="pt-BR"/>
        </w:rPr>
      </w:pPr>
      <w:r w:rsidRPr="00F60C7D">
        <w:rPr>
          <w:rFonts w:cs="Arial"/>
          <w:bCs/>
          <w:szCs w:val="20"/>
          <w:lang w:val="pt-BR"/>
        </w:rPr>
        <w:t xml:space="preserve">A Figura </w:t>
      </w:r>
      <w:r>
        <w:rPr>
          <w:rFonts w:cs="Arial"/>
          <w:bCs/>
          <w:szCs w:val="20"/>
          <w:lang w:val="pt-BR"/>
        </w:rPr>
        <w:t>2</w:t>
      </w:r>
      <w:r w:rsidRPr="00F60C7D">
        <w:rPr>
          <w:rFonts w:cs="Arial"/>
          <w:bCs/>
          <w:szCs w:val="20"/>
          <w:lang w:val="pt-BR"/>
        </w:rPr>
        <w:t xml:space="preserve"> apresenta dados de </w:t>
      </w:r>
      <w:r w:rsidRPr="00F60C7D">
        <w:rPr>
          <w:rFonts w:eastAsia="Calibri" w:cs="Arial"/>
          <w:bCs/>
          <w:szCs w:val="20"/>
          <w:lang w:val="pt-BR"/>
        </w:rPr>
        <w:t>estande inicial e final de plantas de soja com base na utilização dos mecanismos de abertura de sulco de semeadura haste e disco. Ficou evidenciado que, o tratamento com discos resultou em menor número de plantas até o final do ciclo de desenvolvimento da cultura, relacionado a capacidade reduzida que esse mecanismo apresenta em romper a camada compactada de solo, o que por consequência pode confinar as plantas nos primeiros centímetros do solo</w:t>
      </w:r>
      <w:r w:rsidRPr="00F60C7D">
        <w:rPr>
          <w:rFonts w:cs="Arial"/>
          <w:szCs w:val="20"/>
          <w:lang w:val="pt-BR"/>
        </w:rPr>
        <w:t xml:space="preserve"> (C</w:t>
      </w:r>
      <w:r>
        <w:rPr>
          <w:rFonts w:cs="Arial"/>
          <w:szCs w:val="20"/>
          <w:lang w:val="pt-BR"/>
        </w:rPr>
        <w:t>haudhuri</w:t>
      </w:r>
      <w:r w:rsidRPr="00F60C7D">
        <w:rPr>
          <w:rFonts w:cs="Arial"/>
          <w:szCs w:val="20"/>
          <w:lang w:val="pt-BR"/>
        </w:rPr>
        <w:t>, 2001).</w:t>
      </w:r>
      <w:r w:rsidRPr="00F60C7D">
        <w:rPr>
          <w:rFonts w:eastAsia="Calibri" w:cs="Arial"/>
          <w:bCs/>
          <w:szCs w:val="20"/>
          <w:lang w:val="pt-BR"/>
        </w:rPr>
        <w:t xml:space="preserve"> Tal confinamento pode gerar estresse na cultura contribuindo para observar menor número de plantas </w:t>
      </w:r>
      <w:r w:rsidRPr="00F60C7D">
        <w:rPr>
          <w:rFonts w:cs="Arial"/>
          <w:szCs w:val="20"/>
          <w:lang w:val="pt-BR"/>
        </w:rPr>
        <w:t>(T</w:t>
      </w:r>
      <w:r>
        <w:rPr>
          <w:rFonts w:cs="Arial"/>
          <w:szCs w:val="20"/>
          <w:lang w:val="pt-BR"/>
        </w:rPr>
        <w:t>rentin</w:t>
      </w:r>
      <w:r w:rsidRPr="00F60C7D">
        <w:rPr>
          <w:rFonts w:cs="Arial"/>
          <w:szCs w:val="20"/>
          <w:lang w:val="pt-BR"/>
        </w:rPr>
        <w:t xml:space="preserve"> et al.,2018).</w:t>
      </w:r>
    </w:p>
    <w:p w14:paraId="2E7A3A38" w14:textId="77777777" w:rsidR="00F60C7D" w:rsidRPr="00F60C7D" w:rsidRDefault="00F60C7D" w:rsidP="00F60C7D">
      <w:pPr>
        <w:autoSpaceDE w:val="0"/>
        <w:autoSpaceDN w:val="0"/>
        <w:adjustRightInd w:val="0"/>
        <w:contextualSpacing/>
        <w:rPr>
          <w:rFonts w:eastAsia="Calibri" w:cs="Arial"/>
          <w:szCs w:val="20"/>
          <w:lang w:val="pt-BR"/>
        </w:rPr>
      </w:pPr>
    </w:p>
    <w:p w14:paraId="2218343D" w14:textId="77777777" w:rsidR="00F60C7D" w:rsidRPr="00F60C7D" w:rsidRDefault="00F60C7D" w:rsidP="00F60C7D">
      <w:pPr>
        <w:autoSpaceDE w:val="0"/>
        <w:autoSpaceDN w:val="0"/>
        <w:adjustRightInd w:val="0"/>
        <w:contextualSpacing/>
        <w:rPr>
          <w:rFonts w:eastAsia="Calibri" w:cs="Arial"/>
          <w:szCs w:val="20"/>
          <w:lang w:val="pt-BR"/>
        </w:rPr>
      </w:pPr>
    </w:p>
    <w:p w14:paraId="1598BCFD" w14:textId="77777777" w:rsidR="00F60C7D" w:rsidRPr="00F60C7D" w:rsidRDefault="00F60C7D" w:rsidP="00F60C7D">
      <w:pPr>
        <w:jc w:val="center"/>
        <w:rPr>
          <w:rFonts w:cs="Arial"/>
          <w:szCs w:val="20"/>
        </w:rPr>
      </w:pPr>
      <w:r w:rsidRPr="00F60C7D">
        <w:rPr>
          <w:rFonts w:cs="Arial"/>
          <w:noProof/>
          <w:szCs w:val="20"/>
          <w:lang w:val="pt-BR"/>
        </w:rPr>
        <w:lastRenderedPageBreak/>
        <w:drawing>
          <wp:inline distT="0" distB="0" distL="0" distR="0" wp14:anchorId="0EDE0E47" wp14:editId="77D674FC">
            <wp:extent cx="2682000" cy="2700000"/>
            <wp:effectExtent l="0" t="0" r="4445" b="5715"/>
            <wp:docPr id="8" name="Gráfico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A829F9B-9C93-4781-B0D2-896BA627C3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60C7D">
        <w:rPr>
          <w:rFonts w:cs="Arial"/>
          <w:noProof/>
          <w:szCs w:val="20"/>
          <w:lang w:val="pt-BR"/>
        </w:rPr>
        <w:drawing>
          <wp:inline distT="0" distB="0" distL="0" distR="0" wp14:anchorId="7952D46A" wp14:editId="79ABE3DC">
            <wp:extent cx="2682000" cy="2700000"/>
            <wp:effectExtent l="0" t="0" r="4445" b="5715"/>
            <wp:docPr id="9" name="Gráfico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449C4C-A0C7-4746-BCE1-4D81FB0015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A7EFC3" w14:textId="77777777" w:rsidR="00F60C7D" w:rsidRPr="00F60C7D" w:rsidRDefault="00F60C7D" w:rsidP="00F60C7D">
      <w:pPr>
        <w:autoSpaceDE w:val="0"/>
        <w:autoSpaceDN w:val="0"/>
        <w:adjustRightInd w:val="0"/>
        <w:contextualSpacing/>
        <w:rPr>
          <w:rFonts w:eastAsia="Calibri" w:cs="Arial"/>
          <w:szCs w:val="20"/>
        </w:rPr>
      </w:pPr>
      <w:r w:rsidRPr="00F60C7D">
        <w:rPr>
          <w:rFonts w:cs="Arial"/>
          <w:noProof/>
          <w:szCs w:val="20"/>
          <w:lang w:val="pt-BR"/>
        </w:rPr>
        <w:drawing>
          <wp:inline distT="0" distB="0" distL="0" distR="0" wp14:anchorId="2DA5D100" wp14:editId="4D4FB994">
            <wp:extent cx="2686050" cy="2705100"/>
            <wp:effectExtent l="0" t="0" r="0" b="0"/>
            <wp:docPr id="6" name="Gráfico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12E9E4-508B-4D76-91A2-7234B6307C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F60C7D">
        <w:rPr>
          <w:rFonts w:cs="Arial"/>
          <w:noProof/>
          <w:szCs w:val="20"/>
          <w:lang w:val="pt-BR"/>
        </w:rPr>
        <w:drawing>
          <wp:inline distT="0" distB="0" distL="0" distR="0" wp14:anchorId="068F2EAC" wp14:editId="3DFE3009">
            <wp:extent cx="2686050" cy="2705100"/>
            <wp:effectExtent l="0" t="0" r="0" b="0"/>
            <wp:docPr id="7" name="Gráfico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116907C-705D-4805-A7F5-0FB361E20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96EB90" w14:textId="5622E0DD" w:rsidR="00F60C7D" w:rsidRPr="00F60C7D" w:rsidRDefault="00F60C7D" w:rsidP="00F60C7D">
      <w:pPr>
        <w:rPr>
          <w:rFonts w:cs="Arial"/>
          <w:szCs w:val="20"/>
          <w:lang w:val="pt-BR"/>
        </w:rPr>
      </w:pPr>
      <w:r w:rsidRPr="00F60C7D">
        <w:rPr>
          <w:rFonts w:eastAsia="Calibri" w:cs="Arial"/>
          <w:b/>
          <w:szCs w:val="20"/>
          <w:lang w:val="pt-BR"/>
        </w:rPr>
        <w:t xml:space="preserve">Figura </w:t>
      </w:r>
      <w:r>
        <w:rPr>
          <w:rFonts w:eastAsia="Calibri" w:cs="Arial"/>
          <w:b/>
          <w:szCs w:val="20"/>
          <w:lang w:val="pt-BR"/>
        </w:rPr>
        <w:t>2</w:t>
      </w:r>
      <w:r w:rsidRPr="00F60C7D">
        <w:rPr>
          <w:rFonts w:eastAsia="Calibri" w:cs="Arial"/>
          <w:szCs w:val="20"/>
          <w:lang w:val="pt-BR"/>
        </w:rPr>
        <w:t>. Estande inicial e final</w:t>
      </w:r>
      <w:r>
        <w:rPr>
          <w:rFonts w:eastAsia="Calibri" w:cs="Arial"/>
          <w:szCs w:val="20"/>
          <w:lang w:val="pt-BR"/>
        </w:rPr>
        <w:t>, altura inicial e final de soja</w:t>
      </w:r>
      <w:r w:rsidRPr="00F60C7D">
        <w:rPr>
          <w:rFonts w:eastAsia="Calibri" w:cs="Arial"/>
          <w:szCs w:val="20"/>
          <w:lang w:val="pt-BR"/>
        </w:rPr>
        <w:t xml:space="preserve"> utilizando os mecanismos de abertura de sulco de semeadura haste e disco.</w:t>
      </w:r>
      <w:r w:rsidRPr="00F60C7D">
        <w:rPr>
          <w:rFonts w:cs="Arial"/>
          <w:szCs w:val="20"/>
          <w:lang w:val="pt-BR"/>
        </w:rPr>
        <w:t xml:space="preserve"> Rio Verde (GO), 2021/2022. Médias seguidas de mesma letra maiúscula não diferem, significativamente, entre si a 5 % de probabilidade pelo teste LSD-Fisher.</w:t>
      </w:r>
    </w:p>
    <w:p w14:paraId="7BD7A8E2" w14:textId="77777777" w:rsidR="00F60C7D" w:rsidRPr="00F60C7D" w:rsidRDefault="00F60C7D" w:rsidP="00F60C7D">
      <w:pPr>
        <w:rPr>
          <w:rFonts w:cs="Arial"/>
          <w:szCs w:val="20"/>
          <w:lang w:val="pt-BR"/>
        </w:rPr>
      </w:pPr>
    </w:p>
    <w:p w14:paraId="1B76E170" w14:textId="52271815" w:rsidR="00F60C7D" w:rsidRPr="00F60C7D" w:rsidRDefault="00F60C7D" w:rsidP="00F60C7D">
      <w:pPr>
        <w:autoSpaceDE w:val="0"/>
        <w:autoSpaceDN w:val="0"/>
        <w:adjustRightInd w:val="0"/>
        <w:ind w:firstLine="708"/>
        <w:contextualSpacing/>
        <w:rPr>
          <w:rFonts w:eastAsia="Calibri" w:cs="Arial"/>
          <w:szCs w:val="20"/>
          <w:lang w:val="pt-BR"/>
        </w:rPr>
      </w:pPr>
      <w:r w:rsidRPr="00F60C7D">
        <w:rPr>
          <w:rFonts w:cs="Arial"/>
          <w:szCs w:val="20"/>
          <w:lang w:val="pt-BR"/>
        </w:rPr>
        <w:t>Para a variável</w:t>
      </w:r>
      <w:r w:rsidRPr="00F60C7D">
        <w:rPr>
          <w:rFonts w:eastAsia="Calibri" w:cs="Arial"/>
          <w:szCs w:val="20"/>
          <w:lang w:val="pt-BR"/>
        </w:rPr>
        <w:t xml:space="preserve"> altura inicial, observou-se que as plantas de soja com o uso de disco apresentaram um porte mais reduzido (Figura </w:t>
      </w:r>
      <w:r>
        <w:rPr>
          <w:rFonts w:eastAsia="Calibri" w:cs="Arial"/>
          <w:szCs w:val="20"/>
          <w:lang w:val="pt-BR"/>
        </w:rPr>
        <w:t>2</w:t>
      </w:r>
      <w:r w:rsidRPr="00F60C7D">
        <w:rPr>
          <w:rFonts w:eastAsia="Calibri" w:cs="Arial"/>
          <w:szCs w:val="20"/>
          <w:lang w:val="pt-BR"/>
        </w:rPr>
        <w:t>). Isso pode estar diretamente vinculado ao fato de que os discos tendem a romper menos a camada compactada do solo, o que repercute em um desempenho inicial inferior para a cultura da soja. Contrariamente, no que se refere à altura final, não se constatou discrepância significativa entre o uso do disco e da haste. Esse fenômeno pode ser atribuído à capacidade da cultura da soja de manifestar plasticidade fenotípica, ou seja, ela é capaz de se recuperar de estresses durante o desenvolvimento resultado da habilidade intrínseca da soja em se adaptar e se reequilibrar ao longo do ciclo de cultivo (R</w:t>
      </w:r>
      <w:r>
        <w:rPr>
          <w:rFonts w:eastAsia="Calibri" w:cs="Arial"/>
          <w:szCs w:val="20"/>
          <w:lang w:val="pt-BR"/>
        </w:rPr>
        <w:t>ambo</w:t>
      </w:r>
      <w:r w:rsidRPr="00F60C7D">
        <w:rPr>
          <w:rFonts w:eastAsia="Calibri" w:cs="Arial"/>
          <w:szCs w:val="20"/>
          <w:lang w:val="pt-BR"/>
        </w:rPr>
        <w:t xml:space="preserve"> et al., 2003).</w:t>
      </w:r>
    </w:p>
    <w:p w14:paraId="5E10D65B" w14:textId="0CB98F2B" w:rsidR="00F60C7D" w:rsidRPr="00F60C7D" w:rsidRDefault="00F60C7D" w:rsidP="00065963">
      <w:pPr>
        <w:ind w:firstLine="708"/>
        <w:rPr>
          <w:rFonts w:cs="Arial"/>
          <w:szCs w:val="20"/>
          <w:lang w:val="pt-BR"/>
        </w:rPr>
      </w:pPr>
      <w:r w:rsidRPr="00F60C7D">
        <w:rPr>
          <w:rFonts w:cs="Arial"/>
          <w:szCs w:val="20"/>
          <w:lang w:val="pt-BR"/>
        </w:rPr>
        <w:t xml:space="preserve">A massa de cem grãos e o número de vagens por plantas são componentes do rendimento responsáveis pela produtividade da cultura soja. É possível observar na Figura </w:t>
      </w:r>
      <w:r>
        <w:rPr>
          <w:rFonts w:cs="Arial"/>
          <w:szCs w:val="20"/>
          <w:lang w:val="pt-BR"/>
        </w:rPr>
        <w:t>3</w:t>
      </w:r>
      <w:r w:rsidRPr="00F60C7D">
        <w:rPr>
          <w:rFonts w:cs="Arial"/>
          <w:szCs w:val="20"/>
          <w:lang w:val="pt-BR"/>
        </w:rPr>
        <w:t xml:space="preserve"> que houve diferença significativa para a massa de cem grãos e não houve para o quesito número de vagens. Esse resultado pode também estar associado à plasticidade fenotípica da soja, que é a capacidade de adaptação da planta às condições ambientais e de manejo, promovendo mudanças na sua morfologia e arquitetura </w:t>
      </w:r>
      <w:r w:rsidRPr="00F60C7D">
        <w:rPr>
          <w:rFonts w:cs="Arial"/>
          <w:szCs w:val="20"/>
          <w:lang w:val="pt-BR"/>
        </w:rPr>
        <w:lastRenderedPageBreak/>
        <w:t>e nos componentes do rendimento (R</w:t>
      </w:r>
      <w:r w:rsidR="00065963">
        <w:rPr>
          <w:rFonts w:cs="Arial"/>
          <w:szCs w:val="20"/>
          <w:lang w:val="pt-BR"/>
        </w:rPr>
        <w:t>ambo</w:t>
      </w:r>
      <w:r w:rsidRPr="00F60C7D">
        <w:rPr>
          <w:rFonts w:cs="Arial"/>
          <w:szCs w:val="20"/>
          <w:lang w:val="pt-BR"/>
        </w:rPr>
        <w:t xml:space="preserve"> et al., 2003). Haja vista que, ainda com uma quantidade menor de vagens (mesmo que não diferindo estatisticamente), a planta do tratamento do tipo haste compensou com o peso maior de grãos em relação ao tratamento do tipo disco. </w:t>
      </w:r>
    </w:p>
    <w:p w14:paraId="46FC49A9" w14:textId="41B0DC67" w:rsidR="00F60C7D" w:rsidRPr="00F60C7D" w:rsidRDefault="00F60C7D" w:rsidP="00F60C7D">
      <w:pPr>
        <w:jc w:val="center"/>
        <w:rPr>
          <w:rFonts w:cs="Arial"/>
          <w:szCs w:val="20"/>
        </w:rPr>
      </w:pPr>
      <w:r w:rsidRPr="00F60C7D">
        <w:rPr>
          <w:rFonts w:cs="Arial"/>
          <w:noProof/>
          <w:szCs w:val="20"/>
          <w:lang w:val="pt-BR"/>
        </w:rPr>
        <w:drawing>
          <wp:inline distT="0" distB="0" distL="0" distR="0" wp14:anchorId="0F616CA1" wp14:editId="2791046D">
            <wp:extent cx="2682000" cy="2700000"/>
            <wp:effectExtent l="0" t="0" r="4445" b="5715"/>
            <wp:docPr id="16" name="Gráfico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93BABA-E4D2-48E5-A8BB-4F39143A5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60C7D">
        <w:rPr>
          <w:rFonts w:cs="Arial"/>
          <w:noProof/>
          <w:szCs w:val="20"/>
          <w:lang w:val="pt-BR"/>
        </w:rPr>
        <w:drawing>
          <wp:inline distT="0" distB="0" distL="0" distR="0" wp14:anchorId="01639C53" wp14:editId="6570BDA5">
            <wp:extent cx="2682000" cy="2700000"/>
            <wp:effectExtent l="0" t="0" r="4445" b="5715"/>
            <wp:docPr id="15" name="Gráfico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F6DEE0-08A7-4452-B562-5F42449497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65963" w:rsidRPr="00F60C7D">
        <w:rPr>
          <w:rFonts w:cs="Arial"/>
          <w:noProof/>
          <w:szCs w:val="20"/>
          <w:lang w:val="pt-BR"/>
        </w:rPr>
        <w:drawing>
          <wp:inline distT="0" distB="0" distL="0" distR="0" wp14:anchorId="39044478" wp14:editId="73C37C64">
            <wp:extent cx="2682000" cy="2700000"/>
            <wp:effectExtent l="0" t="0" r="4445" b="5715"/>
            <wp:docPr id="18" name="Gráfico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AF1C38-612A-4BB1-AA61-5FAD6B0A24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A2A1C0" w14:textId="688FDAAC" w:rsidR="00F60C7D" w:rsidRPr="00F60C7D" w:rsidRDefault="00F60C7D" w:rsidP="00F60C7D">
      <w:pPr>
        <w:rPr>
          <w:rFonts w:cs="Arial"/>
          <w:szCs w:val="20"/>
          <w:lang w:val="pt-BR"/>
        </w:rPr>
      </w:pPr>
      <w:r w:rsidRPr="00F60C7D">
        <w:rPr>
          <w:rFonts w:eastAsia="Calibri" w:cs="Arial"/>
          <w:b/>
          <w:szCs w:val="20"/>
          <w:lang w:val="pt-BR"/>
        </w:rPr>
        <w:t xml:space="preserve">Figura </w:t>
      </w:r>
      <w:r w:rsidR="00065963">
        <w:rPr>
          <w:rFonts w:eastAsia="Calibri" w:cs="Arial"/>
          <w:b/>
          <w:szCs w:val="20"/>
          <w:lang w:val="pt-BR"/>
        </w:rPr>
        <w:t>3</w:t>
      </w:r>
      <w:r w:rsidRPr="00F60C7D">
        <w:rPr>
          <w:rFonts w:eastAsia="Calibri" w:cs="Arial"/>
          <w:szCs w:val="20"/>
          <w:lang w:val="pt-BR"/>
        </w:rPr>
        <w:t>. Massa de 100 grãos</w:t>
      </w:r>
      <w:r w:rsidR="00065963">
        <w:rPr>
          <w:rFonts w:eastAsia="Calibri" w:cs="Arial"/>
          <w:szCs w:val="20"/>
          <w:lang w:val="pt-BR"/>
        </w:rPr>
        <w:t xml:space="preserve">, </w:t>
      </w:r>
      <w:r w:rsidRPr="00F60C7D">
        <w:rPr>
          <w:rFonts w:eastAsia="Calibri" w:cs="Arial"/>
          <w:szCs w:val="20"/>
          <w:lang w:val="pt-BR"/>
        </w:rPr>
        <w:t>número de vagens</w:t>
      </w:r>
      <w:r w:rsidR="00065963">
        <w:rPr>
          <w:rFonts w:eastAsia="Calibri" w:cs="Arial"/>
          <w:szCs w:val="20"/>
          <w:lang w:val="pt-BR"/>
        </w:rPr>
        <w:t xml:space="preserve"> e produtividade</w:t>
      </w:r>
      <w:r w:rsidRPr="00F60C7D">
        <w:rPr>
          <w:rFonts w:eastAsia="Calibri" w:cs="Arial"/>
          <w:szCs w:val="20"/>
          <w:lang w:val="pt-BR"/>
        </w:rPr>
        <w:t xml:space="preserve"> de soja semeadas utilizando os mecanismos de abertura de sulco de semeadura haste e disco.</w:t>
      </w:r>
      <w:r w:rsidRPr="00F60C7D">
        <w:rPr>
          <w:rFonts w:cs="Arial"/>
          <w:szCs w:val="20"/>
          <w:lang w:val="pt-BR"/>
        </w:rPr>
        <w:t xml:space="preserve"> Rio Verde (GO), 2021/2022. Médias seguidas de mesma letra maiúscula não diferem, significativamente, entre si a 5 % de probabilidade pelo teste LSD-Fisher.</w:t>
      </w:r>
    </w:p>
    <w:p w14:paraId="152415EC" w14:textId="77777777" w:rsidR="00F60C7D" w:rsidRPr="00F60C7D" w:rsidRDefault="00F60C7D" w:rsidP="00F60C7D">
      <w:pPr>
        <w:rPr>
          <w:rFonts w:cs="Arial"/>
          <w:szCs w:val="20"/>
          <w:lang w:val="pt-BR"/>
        </w:rPr>
      </w:pPr>
    </w:p>
    <w:p w14:paraId="2B965B27" w14:textId="22F0CD75" w:rsidR="00DE0774" w:rsidRPr="00065963" w:rsidRDefault="00F60C7D" w:rsidP="00AC0B66">
      <w:pPr>
        <w:rPr>
          <w:rFonts w:cs="Arial"/>
          <w:szCs w:val="20"/>
          <w:lang w:val="pt-BR"/>
        </w:rPr>
      </w:pPr>
      <w:r w:rsidRPr="00F60C7D">
        <w:rPr>
          <w:rFonts w:cs="Arial"/>
          <w:szCs w:val="20"/>
          <w:lang w:val="pt-BR"/>
        </w:rPr>
        <w:tab/>
        <w:t xml:space="preserve">Não se constataram diferenças significativas em relação à produtividade utilizando os diferentes mecanismos de abertura de sulco de semeadura (Figura </w:t>
      </w:r>
      <w:r w:rsidR="00065963">
        <w:rPr>
          <w:rFonts w:cs="Arial"/>
          <w:szCs w:val="20"/>
          <w:lang w:val="pt-BR"/>
        </w:rPr>
        <w:t>3</w:t>
      </w:r>
      <w:r w:rsidRPr="00F60C7D">
        <w:rPr>
          <w:rFonts w:cs="Arial"/>
          <w:szCs w:val="20"/>
          <w:lang w:val="pt-BR"/>
        </w:rPr>
        <w:t>). Isso está em consonância com Gurgacz (2007) que obteve rendimentos semelhantes utilizando tanto a haste sulcadora quanto o disco duplo. No entanto, contradiz os resultados obtidos por Ferreira et al. (2023) que indicaram maiores rendimentos associados a hastes sulcadoras quando comparada a semeadura utilizando disco duplo, principalmente em condição de solo compactado. Cabe ressaltar que a ocorrência de uma distribuição de chuvas adequada (Figura 1) desempenhou um papel fundamental na ausência de divergências significativas na produtividade da cultura da soja entre os distintos métodos de abertura de sulcos, apesar de se terem identificado algumas interferências nos componentes de produção.</w:t>
      </w:r>
    </w:p>
    <w:p w14:paraId="4233C2F5" w14:textId="77777777" w:rsidR="00DE0774" w:rsidRPr="00065963" w:rsidRDefault="00193428" w:rsidP="00AC0B66">
      <w:pPr>
        <w:pStyle w:val="TtuloCICURV"/>
        <w:rPr>
          <w:rFonts w:eastAsia="Arial"/>
          <w:lang w:val="pt-BR"/>
        </w:rPr>
      </w:pPr>
      <w:r w:rsidRPr="00065963">
        <w:rPr>
          <w:rFonts w:eastAsia="Arial"/>
          <w:lang w:val="pt-BR"/>
        </w:rPr>
        <w:lastRenderedPageBreak/>
        <w:t>Conclusão</w:t>
      </w:r>
    </w:p>
    <w:p w14:paraId="439A529A" w14:textId="7EB06CE0" w:rsidR="00DE0774" w:rsidRPr="00065963" w:rsidRDefault="00065963" w:rsidP="00065963">
      <w:pPr>
        <w:ind w:firstLine="567"/>
        <w:rPr>
          <w:rFonts w:eastAsia="Arial" w:cs="Arial"/>
          <w:szCs w:val="20"/>
          <w:lang w:val="pt-BR"/>
        </w:rPr>
      </w:pPr>
      <w:r w:rsidRPr="00065963">
        <w:rPr>
          <w:rFonts w:eastAsia="Arial" w:cs="Arial"/>
          <w:szCs w:val="20"/>
          <w:lang w:val="pt-BR"/>
        </w:rPr>
        <w:t>O mecanismo do tipo haste influenciou positivamente na população de plantas, altura inicial e na massa de cem grãos, além de oferecer condições de solo mais propícias ao longo do ciclo de desenvolvimento da cultura de soja, no entanto, não foi suficiente para resultar em acrescimento de produtividade devido a condição hídrica favorável da safra.</w:t>
      </w:r>
    </w:p>
    <w:p w14:paraId="2D92DE05" w14:textId="77777777" w:rsidR="00065963" w:rsidRPr="00065963" w:rsidRDefault="00065963" w:rsidP="00065963">
      <w:pPr>
        <w:ind w:firstLine="567"/>
        <w:rPr>
          <w:rFonts w:eastAsia="Arial"/>
          <w:lang w:val="pt-BR"/>
        </w:rPr>
      </w:pPr>
    </w:p>
    <w:p w14:paraId="125FB5EA" w14:textId="77777777" w:rsidR="00DE0774" w:rsidRPr="00065963" w:rsidRDefault="00193428" w:rsidP="00302629">
      <w:pPr>
        <w:pStyle w:val="TtuloCICURV"/>
        <w:rPr>
          <w:rFonts w:eastAsia="Arial"/>
          <w:lang w:val="pt-BR"/>
        </w:rPr>
      </w:pPr>
      <w:r w:rsidRPr="00065963">
        <w:rPr>
          <w:rFonts w:eastAsia="Arial"/>
          <w:lang w:val="pt-BR"/>
        </w:rPr>
        <w:t>Agradecimentos</w:t>
      </w:r>
    </w:p>
    <w:p w14:paraId="34C1E76D" w14:textId="3D9018EF" w:rsidR="00DE0774" w:rsidRPr="00065963" w:rsidRDefault="00B0641B" w:rsidP="00B0641B">
      <w:pPr>
        <w:ind w:firstLine="567"/>
        <w:rPr>
          <w:rFonts w:eastAsia="Arial"/>
          <w:lang w:val="pt-BR"/>
        </w:rPr>
      </w:pPr>
      <w:r w:rsidRPr="00065963">
        <w:rPr>
          <w:rFonts w:eastAsia="Arial" w:cs="Arial"/>
          <w:szCs w:val="20"/>
          <w:lang w:val="pt-BR"/>
        </w:rPr>
        <w:t>À Universidade de Rio Verde pelo programa de Iniciação Científica.</w:t>
      </w:r>
    </w:p>
    <w:p w14:paraId="55FED903" w14:textId="77777777" w:rsidR="00B0641B" w:rsidRPr="00F60C7D" w:rsidRDefault="00B0641B" w:rsidP="00302629">
      <w:pPr>
        <w:pStyle w:val="TtuloCICURV"/>
        <w:rPr>
          <w:rFonts w:eastAsia="Arial"/>
          <w:color w:val="FF0000"/>
          <w:lang w:val="pt-BR"/>
        </w:rPr>
      </w:pPr>
    </w:p>
    <w:p w14:paraId="0DD80576" w14:textId="5C1969DB" w:rsidR="00DE0774" w:rsidRPr="00065963" w:rsidRDefault="00193428" w:rsidP="00302629">
      <w:pPr>
        <w:pStyle w:val="TtuloCICURV"/>
        <w:rPr>
          <w:rFonts w:eastAsia="Arial"/>
        </w:rPr>
      </w:pPr>
      <w:r w:rsidRPr="00065963">
        <w:rPr>
          <w:rFonts w:eastAsia="Arial"/>
        </w:rPr>
        <w:t>Referências Bibliográficas</w:t>
      </w:r>
    </w:p>
    <w:p w14:paraId="142B7EAC" w14:textId="31E59C0E" w:rsidR="00307195" w:rsidRPr="00307195" w:rsidRDefault="00307195" w:rsidP="00487A9D">
      <w:pPr>
        <w:ind w:hanging="2"/>
        <w:jc w:val="left"/>
        <w:rPr>
          <w:rFonts w:eastAsia="Arial"/>
        </w:rPr>
      </w:pPr>
      <w:r w:rsidRPr="00307195">
        <w:rPr>
          <w:rFonts w:eastAsia="Arial"/>
        </w:rPr>
        <w:t xml:space="preserve">CHAUDHURI, D. Performance evaluation of various types of furrow openers on seed drills - a Review. </w:t>
      </w:r>
      <w:r w:rsidRPr="00307195">
        <w:rPr>
          <w:rFonts w:eastAsia="Arial"/>
          <w:b/>
        </w:rPr>
        <w:t>Journal of Agricultural Engineering Research</w:t>
      </w:r>
      <w:r w:rsidRPr="00307195">
        <w:rPr>
          <w:rFonts w:eastAsia="Arial"/>
        </w:rPr>
        <w:t xml:space="preserve">, </w:t>
      </w:r>
      <w:r>
        <w:rPr>
          <w:rFonts w:eastAsia="Arial"/>
        </w:rPr>
        <w:t xml:space="preserve">Los Angeles, </w:t>
      </w:r>
      <w:r w:rsidRPr="00307195">
        <w:rPr>
          <w:rFonts w:eastAsia="Arial"/>
        </w:rPr>
        <w:t>v. 79, n. 1, p. 125–137, 2001.</w:t>
      </w:r>
    </w:p>
    <w:p w14:paraId="21C39840" w14:textId="77777777" w:rsidR="00307195" w:rsidRPr="00307195" w:rsidRDefault="00307195" w:rsidP="00487A9D">
      <w:pPr>
        <w:ind w:hanging="2"/>
        <w:jc w:val="left"/>
        <w:rPr>
          <w:rFonts w:eastAsia="Arial"/>
        </w:rPr>
      </w:pPr>
    </w:p>
    <w:p w14:paraId="0FC8C726" w14:textId="63A73C5D" w:rsidR="00487A9D" w:rsidRPr="00307195" w:rsidRDefault="00487A9D" w:rsidP="00487A9D">
      <w:pPr>
        <w:ind w:hanging="2"/>
        <w:jc w:val="left"/>
        <w:rPr>
          <w:rFonts w:eastAsia="Arial"/>
        </w:rPr>
      </w:pPr>
      <w:r w:rsidRPr="00307195">
        <w:rPr>
          <w:rFonts w:eastAsia="Arial"/>
        </w:rPr>
        <w:t xml:space="preserve">DRESCHER, M. S.; REINERT, D. J.; DENARDIN, J. E.; GUBIANI, P. I.; FAGANELLO, A.; DA SILVA, B. R.; ZARDIN, M. C. Fertilizer shanks to promote soil decompaction in the seeding operation. </w:t>
      </w:r>
      <w:r w:rsidRPr="00307195">
        <w:rPr>
          <w:rFonts w:eastAsia="Arial"/>
          <w:b/>
        </w:rPr>
        <w:t>Ciência Rural</w:t>
      </w:r>
      <w:r w:rsidRPr="00307195">
        <w:rPr>
          <w:rFonts w:eastAsia="Arial"/>
        </w:rPr>
        <w:t xml:space="preserve">, </w:t>
      </w:r>
      <w:r w:rsidR="00F262A0" w:rsidRPr="00307195">
        <w:rPr>
          <w:rFonts w:eastAsia="Arial"/>
        </w:rPr>
        <w:t xml:space="preserve">Santa Maria, </w:t>
      </w:r>
      <w:r w:rsidRPr="00307195">
        <w:rPr>
          <w:rFonts w:eastAsia="Arial"/>
        </w:rPr>
        <w:t>v. 47, n. 3, p. 1–8, 2017.</w:t>
      </w:r>
    </w:p>
    <w:p w14:paraId="61B94C5E" w14:textId="77777777" w:rsidR="006F566E" w:rsidRPr="00F60C7D" w:rsidRDefault="006F566E" w:rsidP="00487A9D">
      <w:pPr>
        <w:ind w:hanging="2"/>
        <w:jc w:val="left"/>
        <w:rPr>
          <w:rFonts w:eastAsia="Arial"/>
          <w:color w:val="FF0000"/>
        </w:rPr>
      </w:pPr>
    </w:p>
    <w:p w14:paraId="021AC76E" w14:textId="7DE2B951" w:rsidR="00487A9D" w:rsidRPr="00F6703D" w:rsidRDefault="00487A9D" w:rsidP="00487A9D">
      <w:pPr>
        <w:ind w:hanging="2"/>
        <w:jc w:val="left"/>
        <w:rPr>
          <w:rFonts w:eastAsia="Arial"/>
        </w:rPr>
      </w:pPr>
      <w:r w:rsidRPr="00F6703D">
        <w:rPr>
          <w:rFonts w:eastAsia="Arial"/>
        </w:rPr>
        <w:t xml:space="preserve">FERREIRA, C. J. B.; TORMENA, C. A.; SEVERIANO, E. C., NUNES, M.R.; MENEZES, C.C.E.; ANTILLE, D.L.; PRETO, V.R.O. Effectiveness of narrow tyne and double-discs openers to overcome shallow compaction and improve soybean yield in long-term no-tillage soil. </w:t>
      </w:r>
      <w:r w:rsidRPr="00307195">
        <w:rPr>
          <w:rFonts w:eastAsia="Arial"/>
          <w:b/>
        </w:rPr>
        <w:t>Soil and Tillage Research</w:t>
      </w:r>
      <w:r w:rsidRPr="00F6703D">
        <w:rPr>
          <w:rFonts w:eastAsia="Arial"/>
        </w:rPr>
        <w:t xml:space="preserve">, </w:t>
      </w:r>
      <w:r w:rsidR="00F262A0" w:rsidRPr="00F6703D">
        <w:rPr>
          <w:rFonts w:eastAsia="Arial"/>
        </w:rPr>
        <w:t xml:space="preserve">Amsterdam, </w:t>
      </w:r>
      <w:r w:rsidRPr="00F6703D">
        <w:rPr>
          <w:rFonts w:eastAsia="Arial"/>
        </w:rPr>
        <w:t>v.227, n.105622, p.1-10, 2023.</w:t>
      </w:r>
    </w:p>
    <w:p w14:paraId="4964AB50" w14:textId="77777777" w:rsidR="006F566E" w:rsidRPr="00F60C7D" w:rsidRDefault="006F566E" w:rsidP="00487A9D">
      <w:pPr>
        <w:ind w:hanging="2"/>
        <w:jc w:val="left"/>
        <w:rPr>
          <w:rFonts w:eastAsia="Arial"/>
          <w:color w:val="FF0000"/>
        </w:rPr>
      </w:pPr>
    </w:p>
    <w:p w14:paraId="2FCAFF0B" w14:textId="7BFA38DF" w:rsidR="00487A9D" w:rsidRPr="00F6703D" w:rsidRDefault="00487A9D" w:rsidP="00487A9D">
      <w:pPr>
        <w:ind w:hanging="2"/>
        <w:jc w:val="left"/>
        <w:rPr>
          <w:rFonts w:eastAsia="Arial"/>
          <w:lang w:val="pt-BR"/>
        </w:rPr>
      </w:pPr>
      <w:r w:rsidRPr="00F6703D">
        <w:rPr>
          <w:rFonts w:eastAsia="Arial"/>
        </w:rPr>
        <w:t xml:space="preserve">FERREIRA D.F. Sisvar: a computer statistical analysis system. </w:t>
      </w:r>
      <w:r w:rsidRPr="00F6703D">
        <w:rPr>
          <w:rFonts w:eastAsia="Arial"/>
          <w:lang w:val="pt-BR"/>
        </w:rPr>
        <w:t>Ciência e Agrotecnologia,</w:t>
      </w:r>
      <w:r w:rsidR="00F262A0" w:rsidRPr="00F6703D">
        <w:rPr>
          <w:rFonts w:eastAsia="Arial"/>
          <w:lang w:val="pt-BR"/>
        </w:rPr>
        <w:t xml:space="preserve"> Lavras,</w:t>
      </w:r>
      <w:r w:rsidRPr="00F6703D">
        <w:rPr>
          <w:rFonts w:eastAsia="Arial"/>
          <w:lang w:val="pt-BR"/>
        </w:rPr>
        <w:t xml:space="preserve"> v. 35, n. 4, p. 1039-1042, 2011. </w:t>
      </w:r>
    </w:p>
    <w:p w14:paraId="295C7AF0" w14:textId="77777777" w:rsidR="006F566E" w:rsidRPr="00F60C7D" w:rsidRDefault="006F566E" w:rsidP="00487A9D">
      <w:pPr>
        <w:ind w:hanging="2"/>
        <w:jc w:val="left"/>
        <w:rPr>
          <w:rFonts w:eastAsia="Arial"/>
          <w:color w:val="FF0000"/>
          <w:lang w:val="pt-BR"/>
        </w:rPr>
      </w:pPr>
    </w:p>
    <w:p w14:paraId="4412880A" w14:textId="77777777" w:rsidR="00307195" w:rsidRPr="00307195" w:rsidRDefault="00307195" w:rsidP="00487A9D">
      <w:pPr>
        <w:ind w:hanging="2"/>
        <w:jc w:val="left"/>
        <w:rPr>
          <w:rFonts w:eastAsia="Arial"/>
          <w:lang w:val="pt-BR"/>
        </w:rPr>
      </w:pPr>
      <w:r w:rsidRPr="00307195">
        <w:rPr>
          <w:rFonts w:eastAsia="Arial"/>
          <w:lang w:val="pt-BR"/>
        </w:rPr>
        <w:t xml:space="preserve">GURGACZ, F. </w:t>
      </w:r>
      <w:r w:rsidRPr="00307195">
        <w:rPr>
          <w:rFonts w:eastAsia="Arial"/>
          <w:b/>
          <w:lang w:val="pt-BR"/>
        </w:rPr>
        <w:t>Semeadura da soja em sistemas de rotação de culturas e integração agricultura-pecuária em um Latossolo sob sistema de plantio direto</w:t>
      </w:r>
      <w:r w:rsidRPr="00307195">
        <w:rPr>
          <w:rFonts w:eastAsia="Arial"/>
          <w:lang w:val="pt-BR"/>
        </w:rPr>
        <w:t>. 69 f. Dissertação (Mestre em Engenharia Agrícola) Universidade Estadual do Oeste do Paraná, Cascavel, 2007.</w:t>
      </w:r>
    </w:p>
    <w:p w14:paraId="7E1670E3" w14:textId="77777777" w:rsidR="006F566E" w:rsidRPr="00F60C7D" w:rsidRDefault="006F566E" w:rsidP="00487A9D">
      <w:pPr>
        <w:ind w:hanging="2"/>
        <w:jc w:val="left"/>
        <w:rPr>
          <w:rFonts w:eastAsia="Arial"/>
          <w:color w:val="FF0000"/>
          <w:lang w:val="pt-BR"/>
        </w:rPr>
      </w:pPr>
    </w:p>
    <w:p w14:paraId="2212B083" w14:textId="1BFD7842" w:rsidR="00F6703D" w:rsidRPr="00F6703D" w:rsidRDefault="00F6703D" w:rsidP="00487A9D">
      <w:pPr>
        <w:ind w:hanging="2"/>
        <w:jc w:val="left"/>
        <w:rPr>
          <w:rFonts w:eastAsia="Arial"/>
        </w:rPr>
      </w:pPr>
      <w:r w:rsidRPr="00F6703D">
        <w:rPr>
          <w:rFonts w:eastAsia="Arial"/>
        </w:rPr>
        <w:t xml:space="preserve">HANSEL, F. D.; AMADO, T. J. C.; DIAZ, D. A. R.; ROSSO, L. H. M.; NICOLOSO, F. T.; SCHORR, M. Phosphorus fertilizer placement and tillage affect soybean root growth and drought tolerance. </w:t>
      </w:r>
      <w:r w:rsidRPr="00F6703D">
        <w:rPr>
          <w:rFonts w:eastAsia="Arial"/>
          <w:b/>
        </w:rPr>
        <w:t>Agronomy Journal</w:t>
      </w:r>
      <w:r w:rsidRPr="00F6703D">
        <w:rPr>
          <w:rFonts w:eastAsia="Arial"/>
        </w:rPr>
        <w:t xml:space="preserve">, </w:t>
      </w:r>
      <w:r>
        <w:rPr>
          <w:rFonts w:eastAsia="Arial"/>
        </w:rPr>
        <w:t xml:space="preserve">New York, </w:t>
      </w:r>
      <w:r w:rsidRPr="00F6703D">
        <w:rPr>
          <w:rFonts w:eastAsia="Arial"/>
        </w:rPr>
        <w:t>v. 109, n. 6, p. 2936–2944, 2017.</w:t>
      </w:r>
    </w:p>
    <w:p w14:paraId="70B16982" w14:textId="77777777" w:rsidR="006F566E" w:rsidRPr="00F60C7D" w:rsidRDefault="006F566E" w:rsidP="00487A9D">
      <w:pPr>
        <w:ind w:hanging="2"/>
        <w:jc w:val="left"/>
        <w:rPr>
          <w:rFonts w:eastAsia="Arial"/>
          <w:color w:val="FF0000"/>
          <w:lang w:val="pt-BR"/>
        </w:rPr>
      </w:pPr>
    </w:p>
    <w:p w14:paraId="2FCA799A" w14:textId="06B09341" w:rsidR="006864BC" w:rsidRPr="006864BC" w:rsidRDefault="006864BC" w:rsidP="00487A9D">
      <w:pPr>
        <w:ind w:hanging="2"/>
        <w:jc w:val="left"/>
        <w:rPr>
          <w:rFonts w:eastAsia="Arial"/>
          <w:lang w:val="pt-BR"/>
        </w:rPr>
      </w:pPr>
      <w:r w:rsidRPr="006864BC">
        <w:rPr>
          <w:rFonts w:eastAsia="Arial"/>
        </w:rPr>
        <w:t xml:space="preserve">NUNES, M. R.; DENARDIN, J. E.; PAULETTO, E. A.; FAGANELLO, A.; PINTO, L. F. S. Mitigation of clayey soil compaction managed under no-tillage. </w:t>
      </w:r>
      <w:r w:rsidRPr="00475A17">
        <w:rPr>
          <w:rFonts w:eastAsia="Arial"/>
          <w:b/>
          <w:lang w:val="pt-BR"/>
        </w:rPr>
        <w:t>Soil and Tillage Research</w:t>
      </w:r>
      <w:r w:rsidRPr="006864BC">
        <w:rPr>
          <w:rFonts w:eastAsia="Arial"/>
          <w:lang w:val="pt-BR"/>
        </w:rPr>
        <w:t xml:space="preserve">, </w:t>
      </w:r>
      <w:r w:rsidR="00475A17">
        <w:rPr>
          <w:rFonts w:eastAsia="Arial"/>
          <w:lang w:val="pt-BR"/>
        </w:rPr>
        <w:t xml:space="preserve">Amsterdam, </w:t>
      </w:r>
      <w:r w:rsidRPr="006864BC">
        <w:rPr>
          <w:rFonts w:eastAsia="Arial"/>
          <w:lang w:val="pt-BR"/>
        </w:rPr>
        <w:t>v. 148, p. 119–126, 2015.</w:t>
      </w:r>
    </w:p>
    <w:p w14:paraId="158E80DE" w14:textId="77777777" w:rsidR="006864BC" w:rsidRDefault="006864BC" w:rsidP="00487A9D">
      <w:pPr>
        <w:ind w:hanging="2"/>
        <w:jc w:val="left"/>
        <w:rPr>
          <w:rFonts w:eastAsia="Arial"/>
          <w:color w:val="FF0000"/>
          <w:lang w:val="pt-BR"/>
        </w:rPr>
      </w:pPr>
    </w:p>
    <w:p w14:paraId="06E9BB35" w14:textId="317E2F80" w:rsidR="00307195" w:rsidRDefault="00307195" w:rsidP="00487A9D">
      <w:pPr>
        <w:ind w:hanging="2"/>
        <w:jc w:val="left"/>
        <w:rPr>
          <w:rFonts w:eastAsia="Arial"/>
          <w:lang w:val="pt-BR"/>
        </w:rPr>
      </w:pPr>
      <w:r w:rsidRPr="00307195">
        <w:rPr>
          <w:rFonts w:eastAsia="Arial"/>
          <w:lang w:val="pt-BR"/>
        </w:rPr>
        <w:t xml:space="preserve">RAMBO, L.; COSTA, J. A.; PIRES, J. L. F.; ARCIANELLO, G.; FERREIRA, F. G. Rendimento de grãos da soja em função do arranjo de plantas. </w:t>
      </w:r>
      <w:r w:rsidRPr="00307195">
        <w:rPr>
          <w:rFonts w:eastAsia="Arial"/>
          <w:b/>
          <w:lang w:val="pt-BR"/>
        </w:rPr>
        <w:t>Ciência Rural</w:t>
      </w:r>
      <w:r w:rsidRPr="00307195">
        <w:rPr>
          <w:rFonts w:eastAsia="Arial"/>
          <w:lang w:val="pt-BR"/>
        </w:rPr>
        <w:t xml:space="preserve">, </w:t>
      </w:r>
      <w:r>
        <w:rPr>
          <w:rFonts w:eastAsia="Arial"/>
          <w:lang w:val="pt-BR"/>
        </w:rPr>
        <w:t xml:space="preserve">Santa Maria, </w:t>
      </w:r>
      <w:r w:rsidRPr="00307195">
        <w:rPr>
          <w:rFonts w:eastAsia="Arial"/>
          <w:lang w:val="pt-BR"/>
        </w:rPr>
        <w:t>v. 33, n. 3, p. 405–411, 2003.</w:t>
      </w:r>
    </w:p>
    <w:p w14:paraId="0409194F" w14:textId="77777777" w:rsidR="00307195" w:rsidRDefault="00307195" w:rsidP="00487A9D">
      <w:pPr>
        <w:ind w:hanging="2"/>
        <w:jc w:val="left"/>
        <w:rPr>
          <w:rFonts w:eastAsia="Arial"/>
          <w:lang w:val="pt-BR"/>
        </w:rPr>
      </w:pPr>
    </w:p>
    <w:p w14:paraId="689CF127" w14:textId="4FBF96CD" w:rsidR="00487A9D" w:rsidRPr="00F6703D" w:rsidRDefault="00487A9D" w:rsidP="00487A9D">
      <w:pPr>
        <w:ind w:hanging="2"/>
        <w:jc w:val="left"/>
        <w:rPr>
          <w:rFonts w:eastAsia="Arial"/>
          <w:lang w:val="pt-BR"/>
        </w:rPr>
      </w:pPr>
      <w:r w:rsidRPr="00F6703D">
        <w:rPr>
          <w:rFonts w:eastAsia="Arial"/>
          <w:lang w:val="pt-BR"/>
        </w:rPr>
        <w:t xml:space="preserve">SANTOS, H. G. </w:t>
      </w:r>
      <w:r w:rsidRPr="00F6703D">
        <w:rPr>
          <w:rFonts w:eastAsia="Arial"/>
          <w:b/>
          <w:lang w:val="pt-BR"/>
        </w:rPr>
        <w:t>Sistema brasileiro de classificação de solos</w:t>
      </w:r>
      <w:r w:rsidRPr="00F6703D">
        <w:rPr>
          <w:rFonts w:eastAsia="Arial"/>
          <w:lang w:val="pt-BR"/>
        </w:rPr>
        <w:t>. 4rd</w:t>
      </w:r>
      <w:r w:rsidR="006F566E" w:rsidRPr="00F6703D">
        <w:rPr>
          <w:rFonts w:eastAsia="Arial"/>
          <w:lang w:val="pt-BR"/>
        </w:rPr>
        <w:t>.</w:t>
      </w:r>
      <w:r w:rsidRPr="00F6703D">
        <w:rPr>
          <w:rFonts w:eastAsia="Arial"/>
          <w:lang w:val="pt-BR"/>
        </w:rPr>
        <w:t xml:space="preserve"> Brasília</w:t>
      </w:r>
      <w:r w:rsidR="006F566E" w:rsidRPr="00F6703D">
        <w:rPr>
          <w:rFonts w:eastAsia="Arial"/>
          <w:lang w:val="pt-BR"/>
        </w:rPr>
        <w:t xml:space="preserve"> (</w:t>
      </w:r>
      <w:r w:rsidRPr="00F6703D">
        <w:rPr>
          <w:rFonts w:eastAsia="Arial"/>
          <w:lang w:val="pt-BR"/>
        </w:rPr>
        <w:t>DF</w:t>
      </w:r>
      <w:r w:rsidR="006F566E" w:rsidRPr="00F6703D">
        <w:rPr>
          <w:rFonts w:eastAsia="Arial"/>
          <w:lang w:val="pt-BR"/>
        </w:rPr>
        <w:t xml:space="preserve">), </w:t>
      </w:r>
      <w:r w:rsidRPr="00F6703D">
        <w:rPr>
          <w:rFonts w:eastAsia="Arial"/>
          <w:lang w:val="pt-BR"/>
        </w:rPr>
        <w:t>Embrapa Solos, 2018.</w:t>
      </w:r>
    </w:p>
    <w:p w14:paraId="64EF3DDB" w14:textId="77777777" w:rsidR="00F6703D" w:rsidRDefault="00F6703D" w:rsidP="00487A9D">
      <w:pPr>
        <w:ind w:hanging="2"/>
        <w:jc w:val="left"/>
        <w:rPr>
          <w:rFonts w:eastAsia="Arial"/>
          <w:color w:val="FF0000"/>
          <w:lang w:val="pt-BR"/>
        </w:rPr>
      </w:pPr>
    </w:p>
    <w:p w14:paraId="279000BA" w14:textId="11B03BD0" w:rsidR="00F6703D" w:rsidRDefault="00F6703D" w:rsidP="00487A9D">
      <w:pPr>
        <w:ind w:hanging="2"/>
        <w:jc w:val="left"/>
        <w:rPr>
          <w:rFonts w:eastAsia="Arial"/>
          <w:lang w:val="pt-BR"/>
        </w:rPr>
      </w:pPr>
      <w:r w:rsidRPr="00F6703D">
        <w:rPr>
          <w:rFonts w:eastAsia="Arial"/>
        </w:rPr>
        <w:t xml:space="preserve">SILVA, A. P.; BALL, B. C.; TORMENA, C. A; GIAROLA, N. F. B.; GUIMARAES, R. M. L. Soil structure and greenhouse gas production differences between row and interrow positions under no-tillage. </w:t>
      </w:r>
      <w:r w:rsidRPr="00F6703D">
        <w:rPr>
          <w:rFonts w:eastAsia="Arial"/>
          <w:b/>
          <w:lang w:val="pt-BR"/>
        </w:rPr>
        <w:t>Scientia Agricola</w:t>
      </w:r>
      <w:r w:rsidRPr="00F6703D">
        <w:rPr>
          <w:rFonts w:eastAsia="Arial"/>
          <w:lang w:val="pt-BR"/>
        </w:rPr>
        <w:t xml:space="preserve">, </w:t>
      </w:r>
      <w:r>
        <w:rPr>
          <w:rFonts w:eastAsia="Arial"/>
          <w:lang w:val="pt-BR"/>
        </w:rPr>
        <w:t xml:space="preserve">Piracicaba, </w:t>
      </w:r>
      <w:r w:rsidRPr="00F6703D">
        <w:rPr>
          <w:rFonts w:eastAsia="Arial"/>
          <w:lang w:val="pt-BR"/>
        </w:rPr>
        <w:t>v. 71, n. 2, p. 157–162, 2014.</w:t>
      </w:r>
    </w:p>
    <w:p w14:paraId="4E7E3897" w14:textId="77777777" w:rsidR="00307195" w:rsidRDefault="00307195" w:rsidP="00487A9D">
      <w:pPr>
        <w:ind w:hanging="2"/>
        <w:jc w:val="left"/>
        <w:rPr>
          <w:rFonts w:eastAsia="Arial"/>
          <w:lang w:val="pt-BR"/>
        </w:rPr>
      </w:pPr>
    </w:p>
    <w:p w14:paraId="568CC652" w14:textId="081F3160" w:rsidR="00307195" w:rsidRPr="00F6703D" w:rsidRDefault="00307195" w:rsidP="00487A9D">
      <w:pPr>
        <w:ind w:hanging="2"/>
        <w:jc w:val="left"/>
        <w:rPr>
          <w:rFonts w:eastAsia="Arial"/>
          <w:lang w:val="pt-BR"/>
        </w:rPr>
      </w:pPr>
      <w:r w:rsidRPr="00307195">
        <w:rPr>
          <w:rFonts w:eastAsia="Arial"/>
        </w:rPr>
        <w:t xml:space="preserve">TRENTIN, R. G.; MODOLO, A. J.; VARGAS, T. D. O.; RICARDO, J. Soybean productivity in Rhodic Hapludox compacted by the action of furrow openers. </w:t>
      </w:r>
      <w:r w:rsidRPr="00307195">
        <w:rPr>
          <w:rFonts w:eastAsia="Arial"/>
          <w:b/>
          <w:lang w:val="pt-BR"/>
        </w:rPr>
        <w:t>Acta Scientiarum - Agronomy</w:t>
      </w:r>
      <w:r w:rsidRPr="00307195">
        <w:rPr>
          <w:rFonts w:eastAsia="Arial"/>
          <w:lang w:val="pt-BR"/>
        </w:rPr>
        <w:t>,</w:t>
      </w:r>
      <w:r>
        <w:rPr>
          <w:rFonts w:eastAsia="Arial"/>
          <w:lang w:val="pt-BR"/>
        </w:rPr>
        <w:t>Maringá,</w:t>
      </w:r>
      <w:r w:rsidRPr="00307195">
        <w:rPr>
          <w:rFonts w:eastAsia="Arial"/>
          <w:lang w:val="pt-BR"/>
        </w:rPr>
        <w:t xml:space="preserve"> v. 40, n. e35015, p. 1–9, 2018.</w:t>
      </w:r>
    </w:p>
    <w:sectPr w:rsidR="00307195" w:rsidRPr="00F6703D">
      <w:type w:val="continuous"/>
      <w:pgSz w:w="11906" w:h="16838"/>
      <w:pgMar w:top="1418" w:right="1418" w:bottom="1418" w:left="1418" w:header="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158F2" w14:textId="77777777" w:rsidR="002B5CDE" w:rsidRDefault="002B5CDE">
      <w:pPr>
        <w:ind w:hanging="2"/>
      </w:pPr>
      <w:r>
        <w:separator/>
      </w:r>
    </w:p>
  </w:endnote>
  <w:endnote w:type="continuationSeparator" w:id="0">
    <w:p w14:paraId="6D042BDC" w14:textId="77777777" w:rsidR="002B5CDE" w:rsidRDefault="002B5CDE">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BF3E5" w14:textId="77777777" w:rsidR="00DE0774" w:rsidRDefault="00DE0774">
    <w:pPr>
      <w:pStyle w:val="Rodap"/>
      <w:ind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18253" w14:textId="77777777" w:rsidR="00DE0774" w:rsidRPr="00813F66" w:rsidRDefault="00193428">
    <w:pPr>
      <w:tabs>
        <w:tab w:val="center" w:pos="4252"/>
        <w:tab w:val="right" w:pos="8504"/>
      </w:tabs>
      <w:ind w:hanging="2"/>
      <w:jc w:val="right"/>
      <w:rPr>
        <w:rStyle w:val="Nmerodepgina"/>
        <w:rFonts w:eastAsia="Times"/>
        <w:lang w:val="pt-BR"/>
      </w:rPr>
    </w:pPr>
    <w:r w:rsidRPr="00A53C54">
      <w:rPr>
        <w:rStyle w:val="Nmerodepgina"/>
        <w:rFonts w:eastAsia="Times"/>
      </w:rPr>
      <w:fldChar w:fldCharType="begin"/>
    </w:r>
    <w:r w:rsidRPr="00813F66">
      <w:rPr>
        <w:rStyle w:val="Nmerodepgina"/>
        <w:rFonts w:eastAsia="Times"/>
        <w:lang w:val="pt-BR"/>
      </w:rPr>
      <w:instrText>PAGE</w:instrText>
    </w:r>
    <w:r w:rsidRPr="00A53C54">
      <w:rPr>
        <w:rStyle w:val="Nmerodepgina"/>
        <w:rFonts w:eastAsia="Times"/>
      </w:rPr>
      <w:fldChar w:fldCharType="separate"/>
    </w:r>
    <w:r w:rsidR="0077479C">
      <w:rPr>
        <w:rStyle w:val="Nmerodepgina"/>
        <w:rFonts w:eastAsia="Times"/>
        <w:noProof/>
        <w:lang w:val="pt-BR"/>
      </w:rPr>
      <w:t>2</w:t>
    </w:r>
    <w:r w:rsidRPr="00A53C54">
      <w:rPr>
        <w:rStyle w:val="Nmerodepgina"/>
        <w:rFonts w:eastAsia="Times"/>
      </w:rPr>
      <w:fldChar w:fldCharType="end"/>
    </w:r>
  </w:p>
  <w:p w14:paraId="5BE19B5E" w14:textId="77777777" w:rsidR="00DE0774" w:rsidRDefault="00193428">
    <w:pPr>
      <w:tabs>
        <w:tab w:val="center" w:pos="4252"/>
        <w:tab w:val="right" w:pos="8504"/>
      </w:tabs>
      <w:ind w:hanging="2"/>
      <w:jc w:val="center"/>
      <w:rPr>
        <w:rFonts w:eastAsia="Arial" w:cs="Arial"/>
        <w:color w:val="17365D" w:themeColor="text2" w:themeShade="BF"/>
        <w:sz w:val="16"/>
        <w:szCs w:val="16"/>
        <w:lang w:val="pt-BR"/>
      </w:rPr>
    </w:pPr>
    <w:r>
      <w:rPr>
        <w:rFonts w:eastAsia="Arial" w:cs="Arial"/>
        <w:b/>
        <w:color w:val="17365D" w:themeColor="text2" w:themeShade="BF"/>
        <w:sz w:val="16"/>
        <w:szCs w:val="16"/>
        <w:highlight w:val="white"/>
        <w:lang w:val="pt-BR"/>
      </w:rPr>
      <w:t xml:space="preserve">XVIII CONGRESSO DE INICIAÇÃO CIENTÍFICA DA UNIVERSIDADE DE RIO VERDE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59E10" w14:textId="77777777" w:rsidR="00DE0774" w:rsidRDefault="00DE0774">
    <w:pPr>
      <w:pStyle w:val="Rodap"/>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71698" w14:textId="77777777" w:rsidR="002B5CDE" w:rsidRDefault="002B5CDE">
      <w:pPr>
        <w:ind w:hanging="2"/>
      </w:pPr>
      <w:r>
        <w:separator/>
      </w:r>
    </w:p>
  </w:footnote>
  <w:footnote w:type="continuationSeparator" w:id="0">
    <w:p w14:paraId="08025BD5" w14:textId="77777777" w:rsidR="002B5CDE" w:rsidRDefault="002B5CDE">
      <w:pPr>
        <w:ind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2AD88" w14:textId="77777777" w:rsidR="00DE0774" w:rsidRDefault="00DE0774">
    <w:pPr>
      <w:pStyle w:val="Cabealho"/>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2276" w:type="dxa"/>
      <w:tblInd w:w="-1565" w:type="dxa"/>
      <w:tblLook w:val="04A0" w:firstRow="1" w:lastRow="0" w:firstColumn="1" w:lastColumn="0" w:noHBand="0" w:noVBand="1"/>
    </w:tblPr>
    <w:tblGrid>
      <w:gridCol w:w="12276"/>
    </w:tblGrid>
    <w:tr w:rsidR="00DE0774" w14:paraId="011B970D" w14:textId="77777777">
      <w:trPr>
        <w:trHeight w:val="1833"/>
      </w:trPr>
      <w:tc>
        <w:tcPr>
          <w:tcW w:w="12276" w:type="dxa"/>
          <w:tcBorders>
            <w:top w:val="nil"/>
            <w:left w:val="nil"/>
            <w:bottom w:val="nil"/>
            <w:right w:val="nil"/>
          </w:tcBorders>
        </w:tcPr>
        <w:p w14:paraId="0FA9D34B" w14:textId="77777777" w:rsidR="00DE0774" w:rsidRDefault="00193428">
          <w:pPr>
            <w:tabs>
              <w:tab w:val="center" w:pos="4535"/>
              <w:tab w:val="left" w:pos="10455"/>
            </w:tabs>
            <w:rPr>
              <w:rFonts w:eastAsia="Times"/>
              <w:color w:val="FF0000"/>
            </w:rPr>
          </w:pPr>
          <w:r>
            <w:rPr>
              <w:rFonts w:eastAsia="Times"/>
              <w:color w:val="FF0000"/>
            </w:rPr>
            <w:tab/>
          </w:r>
          <w:r>
            <w:rPr>
              <w:rFonts w:eastAsia="Times"/>
              <w:noProof/>
              <w:color w:val="FF0000"/>
              <w:lang w:val="pt-BR"/>
            </w:rPr>
            <w:drawing>
              <wp:inline distT="0" distB="0" distL="0" distR="0" wp14:anchorId="29E6FA9F" wp14:editId="1D296AFF">
                <wp:extent cx="7630160" cy="1580515"/>
                <wp:effectExtent l="0" t="0" r="0" b="635"/>
                <wp:docPr id="1084" name="Imagem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m 1084"/>
                        <pic:cNvPicPr>
                          <a:picLocks noChangeAspect="1"/>
                        </pic:cNvPicPr>
                      </pic:nvPicPr>
                      <pic:blipFill>
                        <a:blip r:embed="rId1">
                          <a:extLst>
                            <a:ext uri="{28A0092B-C50C-407E-A947-70E740481C1C}">
                              <a14:useLocalDpi xmlns:a14="http://schemas.microsoft.com/office/drawing/2010/main" val="0"/>
                            </a:ext>
                          </a:extLst>
                        </a:blip>
                        <a:srcRect t="10007" b="10896"/>
                        <a:stretch>
                          <a:fillRect/>
                        </a:stretch>
                      </pic:blipFill>
                      <pic:spPr>
                        <a:xfrm>
                          <a:off x="0" y="0"/>
                          <a:ext cx="7632000" cy="1581385"/>
                        </a:xfrm>
                        <a:prstGeom prst="rect">
                          <a:avLst/>
                        </a:prstGeom>
                        <a:ln>
                          <a:noFill/>
                        </a:ln>
                      </pic:spPr>
                    </pic:pic>
                  </a:graphicData>
                </a:graphic>
              </wp:inline>
            </w:drawing>
          </w:r>
        </w:p>
      </w:tc>
    </w:tr>
  </w:tbl>
  <w:p w14:paraId="1A7E870C" w14:textId="77777777" w:rsidR="00DE0774" w:rsidRDefault="00DE0774">
    <w:pPr>
      <w:tabs>
        <w:tab w:val="center" w:pos="4252"/>
        <w:tab w:val="center" w:pos="4535"/>
        <w:tab w:val="right" w:pos="8504"/>
        <w:tab w:val="right" w:pos="9070"/>
      </w:tabs>
      <w:rPr>
        <w:rFonts w:eastAsia="Times"/>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AC331" w14:textId="77777777" w:rsidR="00DE0774" w:rsidRDefault="00DE0774">
    <w:pPr>
      <w:pStyle w:val="Cabealho"/>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2557A"/>
    <w:multiLevelType w:val="hybridMultilevel"/>
    <w:tmpl w:val="07C8BE9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0F22DF3"/>
    <w:multiLevelType w:val="hybridMultilevel"/>
    <w:tmpl w:val="4FC254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70F5F0D"/>
    <w:multiLevelType w:val="multilevel"/>
    <w:tmpl w:val="21C265AE"/>
    <w:lvl w:ilvl="0">
      <w:start w:val="3"/>
      <w:numFmt w:val="low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71"/>
    <w:rsid w:val="000309A3"/>
    <w:rsid w:val="0003632C"/>
    <w:rsid w:val="00065963"/>
    <w:rsid w:val="000B43D7"/>
    <w:rsid w:val="000D0101"/>
    <w:rsid w:val="000F099B"/>
    <w:rsid w:val="00123DBB"/>
    <w:rsid w:val="00134E08"/>
    <w:rsid w:val="001540C2"/>
    <w:rsid w:val="00193428"/>
    <w:rsid w:val="001B4ACA"/>
    <w:rsid w:val="001F0CB5"/>
    <w:rsid w:val="00262DCF"/>
    <w:rsid w:val="00293ABD"/>
    <w:rsid w:val="002B5CDE"/>
    <w:rsid w:val="00302629"/>
    <w:rsid w:val="00307195"/>
    <w:rsid w:val="00323F69"/>
    <w:rsid w:val="00367E81"/>
    <w:rsid w:val="00385932"/>
    <w:rsid w:val="003A5868"/>
    <w:rsid w:val="003C5904"/>
    <w:rsid w:val="003F5826"/>
    <w:rsid w:val="00405CCF"/>
    <w:rsid w:val="004228F2"/>
    <w:rsid w:val="00426E9E"/>
    <w:rsid w:val="00475A17"/>
    <w:rsid w:val="00485F43"/>
    <w:rsid w:val="00487A9D"/>
    <w:rsid w:val="004C646B"/>
    <w:rsid w:val="00522D07"/>
    <w:rsid w:val="005C4E73"/>
    <w:rsid w:val="005C77B2"/>
    <w:rsid w:val="006167D6"/>
    <w:rsid w:val="00653196"/>
    <w:rsid w:val="00660983"/>
    <w:rsid w:val="006864BC"/>
    <w:rsid w:val="0069446F"/>
    <w:rsid w:val="006F566E"/>
    <w:rsid w:val="00705A8F"/>
    <w:rsid w:val="00720C71"/>
    <w:rsid w:val="00730041"/>
    <w:rsid w:val="00752AA2"/>
    <w:rsid w:val="00754FF5"/>
    <w:rsid w:val="0077479C"/>
    <w:rsid w:val="00785123"/>
    <w:rsid w:val="0079240C"/>
    <w:rsid w:val="00792729"/>
    <w:rsid w:val="00813F66"/>
    <w:rsid w:val="008549F9"/>
    <w:rsid w:val="00875BA5"/>
    <w:rsid w:val="00911340"/>
    <w:rsid w:val="00912272"/>
    <w:rsid w:val="00914377"/>
    <w:rsid w:val="00921A4B"/>
    <w:rsid w:val="009B0C61"/>
    <w:rsid w:val="009C6229"/>
    <w:rsid w:val="009D6693"/>
    <w:rsid w:val="00A31637"/>
    <w:rsid w:val="00A53C54"/>
    <w:rsid w:val="00A54900"/>
    <w:rsid w:val="00A86ADA"/>
    <w:rsid w:val="00AA0C02"/>
    <w:rsid w:val="00AB6C59"/>
    <w:rsid w:val="00AC0B66"/>
    <w:rsid w:val="00AC4CA5"/>
    <w:rsid w:val="00B0641B"/>
    <w:rsid w:val="00B36DC4"/>
    <w:rsid w:val="00BA4ADC"/>
    <w:rsid w:val="00BD221F"/>
    <w:rsid w:val="00BE775E"/>
    <w:rsid w:val="00C03596"/>
    <w:rsid w:val="00C43084"/>
    <w:rsid w:val="00C61029"/>
    <w:rsid w:val="00C638B2"/>
    <w:rsid w:val="00C96F01"/>
    <w:rsid w:val="00C976E7"/>
    <w:rsid w:val="00CF1F06"/>
    <w:rsid w:val="00D542E8"/>
    <w:rsid w:val="00D67D44"/>
    <w:rsid w:val="00DB2AB1"/>
    <w:rsid w:val="00DB7EF2"/>
    <w:rsid w:val="00DC0132"/>
    <w:rsid w:val="00DC31EA"/>
    <w:rsid w:val="00DC4D19"/>
    <w:rsid w:val="00DE0774"/>
    <w:rsid w:val="00DE0A16"/>
    <w:rsid w:val="00E51DC0"/>
    <w:rsid w:val="00E6618C"/>
    <w:rsid w:val="00E71BEE"/>
    <w:rsid w:val="00E9078E"/>
    <w:rsid w:val="00F20866"/>
    <w:rsid w:val="00F262A0"/>
    <w:rsid w:val="00F60C7D"/>
    <w:rsid w:val="00F6703D"/>
    <w:rsid w:val="00FB04CE"/>
    <w:rsid w:val="00FD1D5E"/>
    <w:rsid w:val="00FD40FC"/>
    <w:rsid w:val="5BBE155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609F85E"/>
  <w15:docId w15:val="{511FF70F-FA2E-445D-BCCA-DEDEF933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iPriority="0"/>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qFormat="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6E7"/>
    <w:pPr>
      <w:suppressAutoHyphens/>
      <w:jc w:val="both"/>
      <w:textAlignment w:val="top"/>
      <w:outlineLvl w:val="0"/>
    </w:pPr>
    <w:rPr>
      <w:rFonts w:ascii="Arial" w:eastAsia="Times New Roman" w:hAnsi="Arial"/>
      <w:position w:val="-1"/>
      <w:szCs w:val="24"/>
      <w:lang w:val="en-US"/>
    </w:rPr>
  </w:style>
  <w:style w:type="paragraph" w:styleId="Ttulo1">
    <w:name w:val="heading 1"/>
    <w:aliases w:val="Título Editores"/>
    <w:basedOn w:val="Normal"/>
    <w:next w:val="Normal"/>
    <w:uiPriority w:val="9"/>
    <w:rsid w:val="003A5868"/>
    <w:pPr>
      <w:keepNext/>
    </w:pPr>
    <w:rPr>
      <w:b/>
      <w:bCs/>
      <w:kern w:val="32"/>
      <w:sz w:val="17"/>
      <w:szCs w:val="32"/>
      <w:lang w:eastAsia="en-US"/>
    </w:rPr>
  </w:style>
  <w:style w:type="paragraph" w:styleId="Ttulo2">
    <w:name w:val="heading 2"/>
    <w:basedOn w:val="Normal"/>
    <w:next w:val="Normal"/>
    <w:uiPriority w:val="9"/>
    <w:semiHidden/>
    <w:unhideWhenUsed/>
    <w:pPr>
      <w:keepNext/>
      <w:tabs>
        <w:tab w:val="left" w:pos="1440"/>
      </w:tabs>
      <w:spacing w:before="240" w:after="60"/>
      <w:ind w:left="1440" w:hanging="720"/>
      <w:jc w:val="left"/>
      <w:outlineLvl w:val="1"/>
    </w:pPr>
    <w:rPr>
      <w:rFonts w:ascii="Cambria" w:hAnsi="Cambria"/>
      <w:b/>
      <w:bCs/>
      <w:i/>
      <w:iCs/>
      <w:sz w:val="28"/>
      <w:szCs w:val="28"/>
      <w:lang w:eastAsia="en-US"/>
    </w:rPr>
  </w:style>
  <w:style w:type="paragraph" w:styleId="Ttulo3">
    <w:name w:val="heading 3"/>
    <w:basedOn w:val="Normal"/>
    <w:next w:val="Normal"/>
    <w:uiPriority w:val="9"/>
    <w:semiHidden/>
    <w:unhideWhenUsed/>
    <w:qFormat/>
    <w:pPr>
      <w:keepNext/>
      <w:tabs>
        <w:tab w:val="left" w:pos="2160"/>
      </w:tabs>
      <w:spacing w:before="240" w:after="60"/>
      <w:ind w:left="2160" w:hanging="720"/>
      <w:jc w:val="left"/>
      <w:outlineLvl w:val="2"/>
    </w:pPr>
    <w:rPr>
      <w:rFonts w:ascii="Cambria" w:hAnsi="Cambria"/>
      <w:b/>
      <w:bCs/>
      <w:sz w:val="26"/>
      <w:szCs w:val="26"/>
      <w:lang w:eastAsia="en-US"/>
    </w:rPr>
  </w:style>
  <w:style w:type="paragraph" w:styleId="Ttulo4">
    <w:name w:val="heading 4"/>
    <w:basedOn w:val="Normal"/>
    <w:next w:val="Normal"/>
    <w:uiPriority w:val="9"/>
    <w:semiHidden/>
    <w:unhideWhenUsed/>
    <w:qFormat/>
    <w:pPr>
      <w:keepNext/>
      <w:tabs>
        <w:tab w:val="left" w:pos="2880"/>
      </w:tabs>
      <w:spacing w:before="240" w:after="60"/>
      <w:ind w:left="2880" w:hanging="720"/>
      <w:jc w:val="left"/>
      <w:outlineLvl w:val="3"/>
    </w:pPr>
    <w:rPr>
      <w:rFonts w:ascii="Calibri" w:hAnsi="Calibri"/>
      <w:b/>
      <w:bCs/>
      <w:sz w:val="28"/>
      <w:szCs w:val="28"/>
      <w:lang w:eastAsia="en-US"/>
    </w:rPr>
  </w:style>
  <w:style w:type="paragraph" w:styleId="Ttulo5">
    <w:name w:val="heading 5"/>
    <w:basedOn w:val="Normal"/>
    <w:next w:val="Normal"/>
    <w:uiPriority w:val="9"/>
    <w:semiHidden/>
    <w:unhideWhenUsed/>
    <w:qFormat/>
    <w:pPr>
      <w:tabs>
        <w:tab w:val="left" w:pos="3600"/>
      </w:tabs>
      <w:spacing w:before="240" w:after="60"/>
      <w:ind w:left="3600" w:hanging="720"/>
      <w:jc w:val="left"/>
      <w:outlineLvl w:val="4"/>
    </w:pPr>
    <w:rPr>
      <w:rFonts w:ascii="Calibri" w:hAnsi="Calibri"/>
      <w:b/>
      <w:bCs/>
      <w:i/>
      <w:iCs/>
      <w:sz w:val="26"/>
      <w:szCs w:val="26"/>
      <w:lang w:eastAsia="en-US"/>
    </w:rPr>
  </w:style>
  <w:style w:type="paragraph" w:styleId="Ttulo6">
    <w:name w:val="heading 6"/>
    <w:basedOn w:val="Normal"/>
    <w:next w:val="Normal"/>
    <w:uiPriority w:val="9"/>
    <w:semiHidden/>
    <w:unhideWhenUsed/>
    <w:qFormat/>
    <w:pPr>
      <w:tabs>
        <w:tab w:val="left" w:pos="4320"/>
      </w:tabs>
      <w:spacing w:before="240" w:after="60"/>
      <w:ind w:left="4320" w:hanging="720"/>
      <w:jc w:val="left"/>
      <w:outlineLvl w:val="5"/>
    </w:pPr>
    <w:rPr>
      <w:rFonts w:ascii="Times New Roman" w:hAnsi="Times New Roman"/>
      <w:b/>
      <w:bCs/>
      <w:sz w:val="22"/>
      <w:szCs w:val="22"/>
      <w:lang w:eastAsia="en-US"/>
    </w:rPr>
  </w:style>
  <w:style w:type="paragraph" w:styleId="Ttulo7">
    <w:name w:val="heading 7"/>
    <w:basedOn w:val="Normal"/>
    <w:next w:val="Normal"/>
    <w:pPr>
      <w:tabs>
        <w:tab w:val="left" w:pos="5040"/>
      </w:tabs>
      <w:spacing w:before="240" w:after="60"/>
      <w:ind w:left="5040" w:hanging="720"/>
      <w:jc w:val="left"/>
      <w:outlineLvl w:val="6"/>
    </w:pPr>
    <w:rPr>
      <w:rFonts w:ascii="Calibri" w:hAnsi="Calibri"/>
      <w:lang w:eastAsia="en-US"/>
    </w:rPr>
  </w:style>
  <w:style w:type="paragraph" w:styleId="Ttulo8">
    <w:name w:val="heading 8"/>
    <w:basedOn w:val="Normal"/>
    <w:next w:val="Normal"/>
    <w:pPr>
      <w:tabs>
        <w:tab w:val="left" w:pos="5760"/>
      </w:tabs>
      <w:spacing w:before="240" w:after="60"/>
      <w:ind w:left="5760" w:hanging="720"/>
      <w:jc w:val="left"/>
      <w:outlineLvl w:val="7"/>
    </w:pPr>
    <w:rPr>
      <w:rFonts w:ascii="Calibri" w:hAnsi="Calibri"/>
      <w:i/>
      <w:iCs/>
      <w:lang w:eastAsia="en-US"/>
    </w:rPr>
  </w:style>
  <w:style w:type="paragraph" w:styleId="Ttulo9">
    <w:name w:val="heading 9"/>
    <w:basedOn w:val="Normal"/>
    <w:next w:val="Normal"/>
    <w:pPr>
      <w:tabs>
        <w:tab w:val="left" w:pos="6480"/>
      </w:tabs>
      <w:spacing w:before="240" w:after="60"/>
      <w:ind w:left="6480" w:hanging="720"/>
      <w:jc w:val="left"/>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rPr>
      <w:w w:val="100"/>
      <w:position w:val="-1"/>
      <w:vertAlign w:val="superscript"/>
      <w:cs w:val="0"/>
    </w:rPr>
  </w:style>
  <w:style w:type="character" w:styleId="Refdecomentrio">
    <w:name w:val="annotation reference"/>
    <w:rPr>
      <w:w w:val="100"/>
      <w:position w:val="-1"/>
      <w:sz w:val="16"/>
      <w:szCs w:val="16"/>
      <w:vertAlign w:val="baseline"/>
      <w:cs w:val="0"/>
    </w:rPr>
  </w:style>
  <w:style w:type="character" w:styleId="Refdenotaderodap">
    <w:name w:val="footnote reference"/>
    <w:rPr>
      <w:w w:val="100"/>
      <w:position w:val="-1"/>
      <w:vertAlign w:val="superscript"/>
      <w:cs w:val="0"/>
    </w:rPr>
  </w:style>
  <w:style w:type="character" w:styleId="Hyperlink">
    <w:name w:val="Hyperlink"/>
    <w:qFormat/>
    <w:rPr>
      <w:color w:val="0000FF"/>
      <w:w w:val="100"/>
      <w:position w:val="-1"/>
      <w:u w:val="single"/>
      <w:vertAlign w:val="baseline"/>
      <w:cs w:val="0"/>
    </w:rPr>
  </w:style>
  <w:style w:type="character" w:styleId="Nmerodepgina">
    <w:name w:val="page number"/>
    <w:basedOn w:val="Fontepargpadro"/>
    <w:qFormat/>
    <w:rsid w:val="00A53C54"/>
    <w:rPr>
      <w:rFonts w:ascii="Arial" w:hAnsi="Arial"/>
      <w:w w:val="100"/>
      <w:position w:val="-1"/>
      <w:sz w:val="20"/>
      <w:vertAlign w:val="baseline"/>
      <w:cs w:val="0"/>
    </w:rPr>
  </w:style>
  <w:style w:type="paragraph" w:customStyle="1" w:styleId="EditoresCICURV">
    <w:name w:val="Editores CICURV"/>
    <w:basedOn w:val="Normal"/>
    <w:link w:val="EditoresCICURVChar"/>
    <w:qFormat/>
    <w:rsid w:val="00C61029"/>
    <w:pPr>
      <w:tabs>
        <w:tab w:val="left" w:pos="567"/>
      </w:tabs>
    </w:pPr>
    <w:rPr>
      <w:rFonts w:eastAsia="Arial" w:cs="Arial"/>
      <w:sz w:val="17"/>
      <w:szCs w:val="17"/>
      <w:lang w:val="pt-BR"/>
    </w:rPr>
  </w:style>
  <w:style w:type="paragraph" w:styleId="Textodecomentrio">
    <w:name w:val="annotation text"/>
    <w:basedOn w:val="Normal"/>
  </w:style>
  <w:style w:type="paragraph" w:customStyle="1" w:styleId="TtuloEditoresCICURV">
    <w:name w:val="Título Editores CICURV"/>
    <w:basedOn w:val="Normal"/>
    <w:link w:val="TtuloEditoresCICURVChar"/>
    <w:qFormat/>
    <w:rsid w:val="00A54900"/>
    <w:pPr>
      <w:jc w:val="left"/>
    </w:pPr>
    <w:rPr>
      <w:rFonts w:eastAsia="Arial"/>
      <w:b/>
      <w:sz w:val="17"/>
      <w:lang w:val="pt-BR"/>
    </w:rPr>
  </w:style>
  <w:style w:type="paragraph" w:styleId="Ttulo">
    <w:name w:val="Title"/>
    <w:basedOn w:val="Normal"/>
    <w:uiPriority w:val="10"/>
    <w:pPr>
      <w:spacing w:before="240"/>
      <w:ind w:firstLine="397"/>
      <w:jc w:val="center"/>
    </w:pPr>
    <w:rPr>
      <w:b/>
      <w:bCs/>
      <w:sz w:val="32"/>
      <w:szCs w:val="32"/>
    </w:rPr>
  </w:style>
  <w:style w:type="paragraph" w:styleId="Textodenotadefim">
    <w:name w:val="endnote text"/>
    <w:basedOn w:val="Normal"/>
  </w:style>
  <w:style w:type="character" w:customStyle="1" w:styleId="EditoresCICURVChar">
    <w:name w:val="Editores CICURV Char"/>
    <w:basedOn w:val="Fontepargpadro"/>
    <w:link w:val="EditoresCICURV"/>
    <w:rsid w:val="00C61029"/>
    <w:rPr>
      <w:rFonts w:ascii="Arial" w:eastAsia="Arial" w:hAnsi="Arial" w:cs="Arial"/>
      <w:position w:val="-1"/>
      <w:sz w:val="17"/>
      <w:szCs w:val="17"/>
    </w:rPr>
  </w:style>
  <w:style w:type="paragraph" w:customStyle="1" w:styleId="Resumo">
    <w:name w:val="Resumo"/>
    <w:basedOn w:val="Normal"/>
    <w:link w:val="ResumoChar"/>
    <w:qFormat/>
    <w:rsid w:val="00A54900"/>
    <w:pPr>
      <w:tabs>
        <w:tab w:val="left" w:pos="567"/>
      </w:tabs>
    </w:pPr>
    <w:rPr>
      <w:lang w:val="pt-BR"/>
    </w:rPr>
  </w:style>
  <w:style w:type="paragraph" w:styleId="Cabealho">
    <w:name w:val="header"/>
    <w:basedOn w:val="Normal"/>
    <w:qFormat/>
    <w:pPr>
      <w:tabs>
        <w:tab w:val="center" w:pos="4252"/>
        <w:tab w:val="right" w:pos="8504"/>
      </w:tabs>
    </w:pPr>
  </w:style>
  <w:style w:type="paragraph" w:styleId="Assuntodocomentrio">
    <w:name w:val="annotation subject"/>
    <w:basedOn w:val="Textodecomentrio"/>
    <w:next w:val="Textodecomentrio"/>
    <w:rPr>
      <w:b/>
      <w:bCs/>
    </w:rPr>
  </w:style>
  <w:style w:type="paragraph" w:styleId="Rodap">
    <w:name w:val="footer"/>
    <w:basedOn w:val="Normal"/>
    <w:qFormat/>
    <w:rsid w:val="00A53C54"/>
    <w:pPr>
      <w:tabs>
        <w:tab w:val="center" w:pos="4252"/>
        <w:tab w:val="right" w:pos="8504"/>
      </w:tabs>
      <w:jc w:val="center"/>
    </w:pPr>
    <w:rPr>
      <w:color w:val="17365D" w:themeColor="text2" w:themeShade="BF"/>
      <w:sz w:val="16"/>
    </w:rPr>
  </w:style>
  <w:style w:type="character" w:customStyle="1" w:styleId="TtuloEditoresCICURVChar">
    <w:name w:val="Título Editores CICURV Char"/>
    <w:basedOn w:val="Fontepargpadro"/>
    <w:link w:val="TtuloEditoresCICURV"/>
    <w:rsid w:val="00A54900"/>
    <w:rPr>
      <w:rFonts w:ascii="Arial" w:eastAsia="Arial" w:hAnsi="Arial"/>
      <w:b/>
      <w:position w:val="-1"/>
      <w:sz w:val="17"/>
      <w:szCs w:val="24"/>
    </w:rPr>
  </w:style>
  <w:style w:type="paragraph" w:styleId="Textodebalo">
    <w:name w:val="Balloon Text"/>
    <w:basedOn w:val="Normal"/>
    <w:rPr>
      <w:rFonts w:ascii="Tahoma" w:eastAsia="Calibri" w:hAnsi="Tahoma"/>
      <w:sz w:val="16"/>
      <w:szCs w:val="16"/>
    </w:rPr>
  </w:style>
  <w:style w:type="paragraph" w:styleId="Subttulo">
    <w:name w:val="Subtitle"/>
    <w:basedOn w:val="Normal"/>
    <w:uiPriority w:val="11"/>
    <w:pPr>
      <w:keepNext/>
      <w:keepLines/>
      <w:spacing w:before="360" w:after="80"/>
    </w:pPr>
    <w:rPr>
      <w:rFonts w:ascii="Georgia" w:eastAsia="Georgia" w:hAnsi="Georgia" w:cs="Georgia"/>
      <w:i/>
      <w:color w:val="666666"/>
      <w:sz w:val="48"/>
      <w:szCs w:val="48"/>
    </w:rPr>
  </w:style>
  <w:style w:type="paragraph" w:styleId="Textodenotaderodap">
    <w:name w:val="footnote text"/>
    <w:basedOn w:val="Normal"/>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character" w:customStyle="1" w:styleId="Ttulo8Char">
    <w:name w:val="Título 8 Char"/>
    <w:rPr>
      <w:i/>
      <w:iCs/>
      <w:w w:val="100"/>
      <w:position w:val="-1"/>
      <w:sz w:val="24"/>
      <w:szCs w:val="24"/>
      <w:vertAlign w:val="baseline"/>
      <w:cs w:val="0"/>
      <w:lang w:val="en-US" w:eastAsia="en-US"/>
    </w:rPr>
  </w:style>
  <w:style w:type="character" w:customStyle="1" w:styleId="Ttulo5Char">
    <w:name w:val="Título 5 Char"/>
    <w:rPr>
      <w:b/>
      <w:bCs/>
      <w:i/>
      <w:iCs/>
      <w:w w:val="100"/>
      <w:position w:val="-1"/>
      <w:sz w:val="26"/>
      <w:szCs w:val="26"/>
      <w:vertAlign w:val="baseline"/>
      <w:cs w:val="0"/>
      <w:lang w:val="en-US" w:eastAsia="en-US"/>
    </w:rPr>
  </w:style>
  <w:style w:type="character" w:customStyle="1" w:styleId="slug-pages">
    <w:name w:val="slug-pages"/>
    <w:rPr>
      <w:w w:val="100"/>
      <w:position w:val="-1"/>
      <w:vertAlign w:val="baseline"/>
      <w:cs w:val="0"/>
    </w:rPr>
  </w:style>
  <w:style w:type="character" w:customStyle="1" w:styleId="Recuodecorpodetexto3Char">
    <w:name w:val="Recuo de corpo de texto 3 Char"/>
    <w:rPr>
      <w:rFonts w:ascii="Times New Roman" w:eastAsia="Times New Roman" w:hAnsi="Times New Roman" w:cs="Times New Roman"/>
      <w:color w:val="000000"/>
      <w:w w:val="100"/>
      <w:position w:val="-1"/>
      <w:sz w:val="20"/>
      <w:szCs w:val="20"/>
      <w:vertAlign w:val="baseline"/>
      <w:cs w:val="0"/>
      <w:lang w:eastAsia="pt-BR"/>
    </w:rPr>
  </w:style>
  <w:style w:type="character" w:customStyle="1" w:styleId="TextodenotadefimChar">
    <w:name w:val="Texto de nota de fim Char"/>
    <w:rPr>
      <w:rFonts w:ascii="Times" w:eastAsia="Times New Roman" w:hAnsi="Times"/>
      <w:w w:val="100"/>
      <w:position w:val="-1"/>
      <w:vertAlign w:val="baseline"/>
      <w:cs w:val="0"/>
      <w:lang w:val="en-US"/>
    </w:rPr>
  </w:style>
  <w:style w:type="paragraph" w:customStyle="1" w:styleId="FontedeReferncia">
    <w:name w:val="Fonte de Referência"/>
    <w:basedOn w:val="Normal"/>
    <w:link w:val="FontedeRefernciaChar"/>
    <w:qFormat/>
    <w:rsid w:val="000309A3"/>
    <w:rPr>
      <w:rFonts w:eastAsia="Arial" w:cs="Arial"/>
      <w:sz w:val="16"/>
      <w:szCs w:val="16"/>
      <w:lang w:val="pt-BR"/>
    </w:rPr>
  </w:style>
  <w:style w:type="character" w:customStyle="1" w:styleId="ResumoChar">
    <w:name w:val="Resumo Char"/>
    <w:basedOn w:val="Fontepargpadro"/>
    <w:link w:val="Resumo"/>
    <w:rsid w:val="00A54900"/>
    <w:rPr>
      <w:rFonts w:ascii="Arial" w:eastAsia="Times New Roman" w:hAnsi="Arial"/>
      <w:position w:val="-1"/>
      <w:szCs w:val="24"/>
    </w:rPr>
  </w:style>
  <w:style w:type="paragraph" w:customStyle="1" w:styleId="LegendasCICURV">
    <w:name w:val="Legendas CICURV"/>
    <w:basedOn w:val="Normal"/>
    <w:link w:val="LegendasCICURVChar"/>
    <w:qFormat/>
    <w:rsid w:val="00AC0B66"/>
    <w:rPr>
      <w:rFonts w:eastAsia="Arial" w:cs="Arial"/>
      <w:color w:val="000000"/>
      <w:szCs w:val="20"/>
      <w:lang w:val="pt-BR"/>
    </w:rPr>
  </w:style>
  <w:style w:type="character" w:customStyle="1" w:styleId="FontedeRefernciaChar">
    <w:name w:val="Fonte de Referência Char"/>
    <w:basedOn w:val="Fontepargpadro"/>
    <w:link w:val="FontedeReferncia"/>
    <w:rsid w:val="000309A3"/>
    <w:rPr>
      <w:rFonts w:ascii="Arial" w:eastAsia="Arial" w:hAnsi="Arial" w:cs="Arial"/>
      <w:position w:val="-1"/>
      <w:sz w:val="16"/>
      <w:szCs w:val="16"/>
    </w:rPr>
  </w:style>
  <w:style w:type="paragraph" w:customStyle="1" w:styleId="FiguraseTabelas">
    <w:name w:val="Figuras e Tabelas"/>
    <w:basedOn w:val="Normal"/>
    <w:link w:val="FiguraseTabelasChar"/>
    <w:qFormat/>
    <w:rsid w:val="00AC0B66"/>
    <w:pPr>
      <w:jc w:val="center"/>
    </w:pPr>
    <w:rPr>
      <w:rFonts w:eastAsia="Arial" w:cs="Arial"/>
      <w:color w:val="000000"/>
      <w:szCs w:val="20"/>
    </w:rPr>
  </w:style>
  <w:style w:type="character" w:customStyle="1" w:styleId="Ttulo4Char">
    <w:name w:val="Título 4 Char"/>
    <w:rPr>
      <w:b/>
      <w:bCs/>
      <w:w w:val="100"/>
      <w:position w:val="-1"/>
      <w:sz w:val="28"/>
      <w:szCs w:val="28"/>
      <w:vertAlign w:val="baseline"/>
      <w:cs w:val="0"/>
      <w:lang w:val="en-US" w:eastAsia="en-US"/>
    </w:rPr>
  </w:style>
  <w:style w:type="character" w:customStyle="1" w:styleId="LegendasCICURVChar">
    <w:name w:val="Legendas CICURV Char"/>
    <w:basedOn w:val="Fontepargpadro"/>
    <w:link w:val="LegendasCICURV"/>
    <w:rsid w:val="00AC0B66"/>
    <w:rPr>
      <w:rFonts w:ascii="Arial" w:eastAsia="Arial" w:hAnsi="Arial" w:cs="Arial"/>
      <w:color w:val="000000"/>
      <w:position w:val="-1"/>
    </w:rPr>
  </w:style>
  <w:style w:type="paragraph" w:customStyle="1" w:styleId="RefernciasCICURV">
    <w:name w:val="Referências CICURV"/>
    <w:basedOn w:val="Normal"/>
    <w:link w:val="RefernciasCICURVChar"/>
    <w:qFormat/>
    <w:rsid w:val="00A53C54"/>
    <w:pPr>
      <w:ind w:hanging="2"/>
      <w:jc w:val="left"/>
    </w:pPr>
    <w:rPr>
      <w:rFonts w:eastAsia="Arial" w:cs="Arial"/>
      <w:color w:val="000000"/>
      <w:szCs w:val="20"/>
      <w:lang w:val="pt-BR"/>
    </w:rPr>
  </w:style>
  <w:style w:type="character" w:customStyle="1" w:styleId="TextodebaloChar">
    <w:name w:val="Texto de balão Char"/>
    <w:rPr>
      <w:rFonts w:ascii="Tahoma" w:hAnsi="Tahoma" w:cs="Tahoma"/>
      <w:w w:val="100"/>
      <w:position w:val="-1"/>
      <w:sz w:val="16"/>
      <w:szCs w:val="16"/>
      <w:vertAlign w:val="baseline"/>
      <w:cs w:val="0"/>
    </w:rPr>
  </w:style>
  <w:style w:type="character" w:customStyle="1" w:styleId="TextodecomentrioChar">
    <w:name w:val="Texto de comentário Char"/>
    <w:rPr>
      <w:rFonts w:ascii="Times" w:eastAsia="Times New Roman" w:hAnsi="Times"/>
      <w:w w:val="100"/>
      <w:position w:val="-1"/>
      <w:vertAlign w:val="baseline"/>
      <w:cs w:val="0"/>
      <w:lang w:val="en-US"/>
    </w:rPr>
  </w:style>
  <w:style w:type="character" w:customStyle="1" w:styleId="Ttulo7Char">
    <w:name w:val="Título 7 Char"/>
    <w:rPr>
      <w:w w:val="100"/>
      <w:position w:val="-1"/>
      <w:sz w:val="24"/>
      <w:szCs w:val="24"/>
      <w:vertAlign w:val="baseline"/>
      <w:cs w:val="0"/>
      <w:lang w:val="en-US" w:eastAsia="en-US"/>
    </w:rPr>
  </w:style>
  <w:style w:type="character" w:customStyle="1" w:styleId="Ttulo1Char">
    <w:name w:val="Título 1 Char"/>
    <w:rPr>
      <w:rFonts w:ascii="Cambria" w:eastAsia="Times New Roman" w:hAnsi="Cambria"/>
      <w:b/>
      <w:bCs/>
      <w:w w:val="100"/>
      <w:kern w:val="32"/>
      <w:position w:val="-1"/>
      <w:sz w:val="32"/>
      <w:szCs w:val="32"/>
      <w:vertAlign w:val="baseline"/>
      <w:cs w:val="0"/>
      <w:lang w:val="en-US" w:eastAsia="en-US"/>
    </w:rPr>
  </w:style>
  <w:style w:type="character" w:customStyle="1" w:styleId="FiguraseTabelasChar">
    <w:name w:val="Figuras e Tabelas Char"/>
    <w:basedOn w:val="Fontepargpadro"/>
    <w:link w:val="FiguraseTabelas"/>
    <w:rsid w:val="00AC0B66"/>
    <w:rPr>
      <w:rFonts w:ascii="Arial" w:eastAsia="Arial" w:hAnsi="Arial" w:cs="Arial"/>
      <w:color w:val="000000"/>
      <w:position w:val="-1"/>
      <w:lang w:val="en-US"/>
    </w:rPr>
  </w:style>
  <w:style w:type="character" w:customStyle="1" w:styleId="SubttuloChar">
    <w:name w:val="Subtítulo Char"/>
    <w:rsid w:val="00C976E7"/>
    <w:rPr>
      <w:rFonts w:ascii="Arial" w:eastAsia="Times New Roman" w:hAnsi="Arial" w:cs="Arial"/>
      <w:w w:val="100"/>
      <w:position w:val="-1"/>
      <w:sz w:val="20"/>
      <w:szCs w:val="24"/>
      <w:vertAlign w:val="baseline"/>
      <w:cs w:val="0"/>
      <w:lang w:eastAsia="ar-SA"/>
    </w:rPr>
  </w:style>
  <w:style w:type="character" w:customStyle="1" w:styleId="RodapChar">
    <w:name w:val="Rodapé Char"/>
    <w:basedOn w:val="Fontepargpadro"/>
    <w:rPr>
      <w:w w:val="100"/>
      <w:position w:val="-1"/>
      <w:vertAlign w:val="baseline"/>
      <w:cs w:val="0"/>
    </w:rPr>
  </w:style>
  <w:style w:type="character" w:customStyle="1" w:styleId="Ttulo2Char">
    <w:name w:val="Título 2 Char"/>
    <w:rPr>
      <w:rFonts w:ascii="Cambria" w:eastAsia="Times New Roman" w:hAnsi="Cambria"/>
      <w:b/>
      <w:bCs/>
      <w:i/>
      <w:iCs/>
      <w:w w:val="100"/>
      <w:position w:val="-1"/>
      <w:sz w:val="28"/>
      <w:szCs w:val="28"/>
      <w:vertAlign w:val="baseline"/>
      <w:cs w:val="0"/>
      <w:lang w:val="en-US" w:eastAsia="en-US"/>
    </w:rPr>
  </w:style>
  <w:style w:type="paragraph" w:styleId="PargrafodaLista">
    <w:name w:val="List Paragraph"/>
    <w:basedOn w:val="Normal"/>
    <w:uiPriority w:val="99"/>
    <w:rsid w:val="00302629"/>
    <w:pPr>
      <w:ind w:left="720"/>
      <w:contextualSpacing/>
    </w:pPr>
  </w:style>
  <w:style w:type="character" w:customStyle="1" w:styleId="A1">
    <w:name w:val="A1"/>
    <w:rPr>
      <w:color w:val="000000"/>
      <w:w w:val="100"/>
      <w:position w:val="-1"/>
      <w:sz w:val="20"/>
      <w:szCs w:val="20"/>
      <w:vertAlign w:val="baseline"/>
      <w:cs w:val="0"/>
    </w:rPr>
  </w:style>
  <w:style w:type="character" w:customStyle="1" w:styleId="TtuloChar">
    <w:name w:val="Título Char"/>
    <w:rPr>
      <w:rFonts w:ascii="Times" w:eastAsia="Times New Roman" w:hAnsi="Times" w:cs="Arial"/>
      <w:b/>
      <w:bCs/>
      <w:w w:val="100"/>
      <w:position w:val="-1"/>
      <w:sz w:val="32"/>
      <w:szCs w:val="32"/>
      <w:vertAlign w:val="baseline"/>
      <w:cs w:val="0"/>
      <w:lang w:val="en-US" w:eastAsia="pt-BR"/>
    </w:rPr>
  </w:style>
  <w:style w:type="character" w:customStyle="1" w:styleId="Ttulo6Char">
    <w:name w:val="Título 6 Char"/>
    <w:rPr>
      <w:rFonts w:ascii="Times New Roman" w:eastAsia="Times New Roman" w:hAnsi="Times New Roman"/>
      <w:b/>
      <w:bCs/>
      <w:w w:val="100"/>
      <w:position w:val="-1"/>
      <w:sz w:val="22"/>
      <w:szCs w:val="22"/>
      <w:vertAlign w:val="baseline"/>
      <w:cs w:val="0"/>
      <w:lang w:val="en-US" w:eastAsia="en-US"/>
    </w:rPr>
  </w:style>
  <w:style w:type="character" w:customStyle="1" w:styleId="Ttulo3Char">
    <w:name w:val="Título 3 Char"/>
    <w:rPr>
      <w:rFonts w:ascii="Cambria" w:eastAsia="Times New Roman" w:hAnsi="Cambria"/>
      <w:b/>
      <w:bCs/>
      <w:w w:val="100"/>
      <w:position w:val="-1"/>
      <w:sz w:val="26"/>
      <w:szCs w:val="26"/>
      <w:vertAlign w:val="baseline"/>
      <w:cs w:val="0"/>
      <w:lang w:val="en-US" w:eastAsia="en-US"/>
    </w:rPr>
  </w:style>
  <w:style w:type="character" w:customStyle="1" w:styleId="RefernciasCICURVChar">
    <w:name w:val="Referências CICURV Char"/>
    <w:basedOn w:val="Fontepargpadro"/>
    <w:link w:val="RefernciasCICURV"/>
    <w:rsid w:val="00A53C54"/>
    <w:rPr>
      <w:rFonts w:ascii="Arial" w:eastAsia="Arial" w:hAnsi="Arial" w:cs="Arial"/>
      <w:color w:val="000000"/>
      <w:position w:val="-1"/>
    </w:rPr>
  </w:style>
  <w:style w:type="character" w:customStyle="1" w:styleId="Ttulo9Char">
    <w:name w:val="Título 9 Char"/>
    <w:rPr>
      <w:rFonts w:ascii="Cambria" w:eastAsia="Times New Roman" w:hAnsi="Cambria"/>
      <w:w w:val="100"/>
      <w:position w:val="-1"/>
      <w:sz w:val="22"/>
      <w:szCs w:val="22"/>
      <w:vertAlign w:val="baseline"/>
      <w:cs w:val="0"/>
      <w:lang w:val="en-US" w:eastAsia="en-US"/>
    </w:rPr>
  </w:style>
  <w:style w:type="character" w:customStyle="1" w:styleId="TextodenotaderodapChar">
    <w:name w:val="Texto de nota de rodapé Char"/>
    <w:rPr>
      <w:rFonts w:ascii="Times" w:eastAsia="Times New Roman" w:hAnsi="Times"/>
      <w:w w:val="100"/>
      <w:position w:val="-1"/>
      <w:vertAlign w:val="baseline"/>
      <w:cs w:val="0"/>
      <w:lang w:val="en-US"/>
    </w:rPr>
  </w:style>
  <w:style w:type="paragraph" w:customStyle="1" w:styleId="Abstract">
    <w:name w:val="Abstract"/>
    <w:basedOn w:val="Normal"/>
    <w:qFormat/>
    <w:rsid w:val="00426E9E"/>
    <w:rPr>
      <w:lang w:val="pt-BR"/>
    </w:rPr>
  </w:style>
  <w:style w:type="paragraph" w:customStyle="1" w:styleId="Author">
    <w:name w:val="Author"/>
    <w:basedOn w:val="Normal"/>
    <w:pPr>
      <w:spacing w:before="240"/>
      <w:jc w:val="center"/>
    </w:pPr>
    <w:rPr>
      <w:b/>
    </w:rPr>
  </w:style>
  <w:style w:type="paragraph" w:customStyle="1" w:styleId="TableParagraph">
    <w:name w:val="Table Paragraph"/>
    <w:basedOn w:val="Normal"/>
    <w:pPr>
      <w:widowControl w:val="0"/>
      <w:jc w:val="left"/>
    </w:pPr>
    <w:rPr>
      <w:rFonts w:ascii="Times New Roman" w:hAnsi="Times New Roman"/>
      <w:sz w:val="22"/>
      <w:szCs w:val="22"/>
      <w:lang w:eastAsia="en-US"/>
    </w:rPr>
  </w:style>
  <w:style w:type="paragraph" w:customStyle="1" w:styleId="arial">
    <w:name w:val="arial"/>
    <w:basedOn w:val="Normal"/>
    <w:pPr>
      <w:spacing w:before="100" w:beforeAutospacing="1" w:after="100" w:afterAutospacing="1"/>
      <w:jc w:val="left"/>
    </w:pPr>
    <w:rPr>
      <w:rFonts w:cs="Arial"/>
      <w:lang w:val="pt-BR"/>
    </w:rPr>
  </w:style>
  <w:style w:type="table" w:customStyle="1" w:styleId="Style68">
    <w:name w:val="_Style 68"/>
    <w:basedOn w:val="TableNormal"/>
    <w:qFormat/>
    <w:tblPr/>
  </w:style>
  <w:style w:type="paragraph" w:customStyle="1" w:styleId="TtuloCICURV">
    <w:name w:val="Título_CICURV"/>
    <w:basedOn w:val="Normal"/>
    <w:link w:val="TtuloCICURVChar"/>
    <w:qFormat/>
    <w:rsid w:val="009B0C61"/>
    <w:pPr>
      <w:widowControl w:val="0"/>
      <w:jc w:val="center"/>
    </w:pPr>
    <w:rPr>
      <w:rFonts w:cs="Arial"/>
      <w:b/>
      <w:szCs w:val="20"/>
    </w:rPr>
  </w:style>
  <w:style w:type="paragraph" w:customStyle="1" w:styleId="AutoresCICURV">
    <w:name w:val="Autores_CICURV"/>
    <w:basedOn w:val="Normal"/>
    <w:link w:val="AutoresCICURVChar"/>
    <w:qFormat/>
    <w:pPr>
      <w:jc w:val="center"/>
    </w:pPr>
    <w:rPr>
      <w:rFonts w:eastAsia="Arial" w:cs="Arial"/>
      <w:szCs w:val="20"/>
      <w:lang w:val="pt-BR"/>
    </w:rPr>
  </w:style>
  <w:style w:type="character" w:customStyle="1" w:styleId="TtuloCICURVChar">
    <w:name w:val="Título_CICURV Char"/>
    <w:basedOn w:val="Fontepargpadro"/>
    <w:link w:val="TtuloCICURV"/>
    <w:qFormat/>
    <w:rsid w:val="009B0C61"/>
    <w:rPr>
      <w:rFonts w:ascii="Arial" w:eastAsia="Times New Roman" w:hAnsi="Arial" w:cs="Arial"/>
      <w:b/>
      <w:position w:val="-1"/>
      <w:lang w:val="en-US"/>
    </w:rPr>
  </w:style>
  <w:style w:type="paragraph" w:customStyle="1" w:styleId="FiliaoCICURV">
    <w:name w:val="Filiação_CICURV"/>
    <w:basedOn w:val="Normal"/>
    <w:link w:val="FiliaoCICURVChar"/>
    <w:qFormat/>
    <w:rsid w:val="009B0C61"/>
    <w:pPr>
      <w:tabs>
        <w:tab w:val="left" w:pos="567"/>
      </w:tabs>
    </w:pPr>
    <w:rPr>
      <w:rFonts w:eastAsia="Arial" w:cs="Arial"/>
      <w:sz w:val="16"/>
      <w:szCs w:val="16"/>
      <w:lang w:val="pt-BR"/>
    </w:rPr>
  </w:style>
  <w:style w:type="character" w:customStyle="1" w:styleId="AutoresCICURVChar">
    <w:name w:val="Autores_CICURV Char"/>
    <w:basedOn w:val="Fontepargpadro"/>
    <w:link w:val="AutoresCICURV"/>
    <w:qFormat/>
    <w:rPr>
      <w:rFonts w:ascii="Arial" w:eastAsia="Arial" w:hAnsi="Arial" w:cs="Arial"/>
      <w:position w:val="-1"/>
      <w:sz w:val="20"/>
      <w:szCs w:val="20"/>
    </w:rPr>
  </w:style>
  <w:style w:type="paragraph" w:customStyle="1" w:styleId="TextogeralCICURV">
    <w:name w:val="Texto geral_CICURV"/>
    <w:basedOn w:val="Normal"/>
    <w:link w:val="TextogeralCICURVChar"/>
    <w:qFormat/>
    <w:rsid w:val="00AC0B66"/>
    <w:pPr>
      <w:ind w:firstLine="567"/>
    </w:pPr>
    <w:rPr>
      <w:rFonts w:eastAsia="Arial" w:cs="Arial"/>
      <w:color w:val="000000"/>
      <w:szCs w:val="20"/>
      <w:lang w:val="pt-BR"/>
    </w:rPr>
  </w:style>
  <w:style w:type="character" w:customStyle="1" w:styleId="FiliaoCICURVChar">
    <w:name w:val="Filiação_CICURV Char"/>
    <w:basedOn w:val="Fontepargpadro"/>
    <w:link w:val="FiliaoCICURV"/>
    <w:qFormat/>
    <w:rsid w:val="009B0C61"/>
    <w:rPr>
      <w:rFonts w:ascii="Arial" w:eastAsia="Arial" w:hAnsi="Arial" w:cs="Arial"/>
      <w:position w:val="-1"/>
      <w:sz w:val="16"/>
      <w:szCs w:val="16"/>
    </w:rPr>
  </w:style>
  <w:style w:type="paragraph" w:customStyle="1" w:styleId="SecesCICURV">
    <w:name w:val="Secções_CICURV"/>
    <w:basedOn w:val="Normal"/>
    <w:link w:val="SecesCICURVChar"/>
    <w:qFormat/>
    <w:pPr>
      <w:ind w:hanging="2"/>
      <w:jc w:val="center"/>
    </w:pPr>
    <w:rPr>
      <w:rFonts w:eastAsia="Arial" w:cs="Arial"/>
      <w:b/>
      <w:color w:val="000000"/>
      <w:szCs w:val="20"/>
      <w:lang w:val="pt-BR"/>
    </w:rPr>
  </w:style>
  <w:style w:type="character" w:customStyle="1" w:styleId="TextogeralCICURVChar">
    <w:name w:val="Texto geral_CICURV Char"/>
    <w:basedOn w:val="Fontepargpadro"/>
    <w:link w:val="TextogeralCICURV"/>
    <w:qFormat/>
    <w:rsid w:val="00AC0B66"/>
    <w:rPr>
      <w:rFonts w:ascii="Arial" w:eastAsia="Arial" w:hAnsi="Arial" w:cs="Arial"/>
      <w:color w:val="000000"/>
      <w:position w:val="-1"/>
    </w:rPr>
  </w:style>
  <w:style w:type="character" w:customStyle="1" w:styleId="SecesCICURVChar">
    <w:name w:val="Secções_CICURV Char"/>
    <w:basedOn w:val="Fontepargpadro"/>
    <w:link w:val="SecesCICURV"/>
    <w:qFormat/>
    <w:rPr>
      <w:rFonts w:ascii="Arial" w:eastAsia="Arial" w:hAnsi="Arial" w:cs="Arial"/>
      <w:b/>
      <w:color w:val="000000"/>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647737">
      <w:bodyDiv w:val="1"/>
      <w:marLeft w:val="0"/>
      <w:marRight w:val="0"/>
      <w:marTop w:val="0"/>
      <w:marBottom w:val="0"/>
      <w:divBdr>
        <w:top w:val="none" w:sz="0" w:space="0" w:color="auto"/>
        <w:left w:val="none" w:sz="0" w:space="0" w:color="auto"/>
        <w:bottom w:val="none" w:sz="0" w:space="0" w:color="auto"/>
        <w:right w:val="none" w:sz="0" w:space="0" w:color="auto"/>
      </w:divBdr>
      <w:divsChild>
        <w:div w:id="1137987570">
          <w:marLeft w:val="0"/>
          <w:marRight w:val="0"/>
          <w:marTop w:val="0"/>
          <w:marBottom w:val="0"/>
          <w:divBdr>
            <w:top w:val="none" w:sz="0" w:space="0" w:color="auto"/>
            <w:left w:val="none" w:sz="0" w:space="0" w:color="auto"/>
            <w:bottom w:val="none" w:sz="0" w:space="0" w:color="auto"/>
            <w:right w:val="none" w:sz="0" w:space="0" w:color="auto"/>
          </w:divBdr>
          <w:divsChild>
            <w:div w:id="1591430126">
              <w:marLeft w:val="0"/>
              <w:marRight w:val="0"/>
              <w:marTop w:val="0"/>
              <w:marBottom w:val="0"/>
              <w:divBdr>
                <w:top w:val="none" w:sz="0" w:space="0" w:color="auto"/>
                <w:left w:val="none" w:sz="0" w:space="0" w:color="auto"/>
                <w:bottom w:val="none" w:sz="0" w:space="0" w:color="auto"/>
                <w:right w:val="none" w:sz="0" w:space="0" w:color="auto"/>
              </w:divBdr>
            </w:div>
            <w:div w:id="86846818">
              <w:marLeft w:val="0"/>
              <w:marRight w:val="0"/>
              <w:marTop w:val="0"/>
              <w:marBottom w:val="0"/>
              <w:divBdr>
                <w:top w:val="none" w:sz="0" w:space="0" w:color="auto"/>
                <w:left w:val="none" w:sz="0" w:space="0" w:color="auto"/>
                <w:bottom w:val="none" w:sz="0" w:space="0" w:color="auto"/>
                <w:right w:val="none" w:sz="0" w:space="0" w:color="auto"/>
              </w:divBdr>
            </w:div>
            <w:div w:id="1385526635">
              <w:marLeft w:val="0"/>
              <w:marRight w:val="0"/>
              <w:marTop w:val="0"/>
              <w:marBottom w:val="0"/>
              <w:divBdr>
                <w:top w:val="none" w:sz="0" w:space="0" w:color="auto"/>
                <w:left w:val="none" w:sz="0" w:space="0" w:color="auto"/>
                <w:bottom w:val="none" w:sz="0" w:space="0" w:color="auto"/>
                <w:right w:val="none" w:sz="0" w:space="0" w:color="auto"/>
              </w:divBdr>
              <w:divsChild>
                <w:div w:id="2341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17606">
          <w:marLeft w:val="0"/>
          <w:marRight w:val="0"/>
          <w:marTop w:val="0"/>
          <w:marBottom w:val="0"/>
          <w:divBdr>
            <w:top w:val="none" w:sz="0" w:space="0" w:color="auto"/>
            <w:left w:val="none" w:sz="0" w:space="0" w:color="auto"/>
            <w:bottom w:val="none" w:sz="0" w:space="0" w:color="auto"/>
            <w:right w:val="none" w:sz="0" w:space="0" w:color="auto"/>
          </w:divBdr>
          <w:divsChild>
            <w:div w:id="1086462857">
              <w:marLeft w:val="0"/>
              <w:marRight w:val="0"/>
              <w:marTop w:val="0"/>
              <w:marBottom w:val="0"/>
              <w:divBdr>
                <w:top w:val="none" w:sz="0" w:space="0" w:color="auto"/>
                <w:left w:val="none" w:sz="0" w:space="0" w:color="auto"/>
                <w:bottom w:val="none" w:sz="0" w:space="0" w:color="auto"/>
                <w:right w:val="none" w:sz="0" w:space="0" w:color="auto"/>
              </w:divBdr>
              <w:divsChild>
                <w:div w:id="1413354776">
                  <w:marLeft w:val="0"/>
                  <w:marRight w:val="0"/>
                  <w:marTop w:val="0"/>
                  <w:marBottom w:val="0"/>
                  <w:divBdr>
                    <w:top w:val="none" w:sz="0" w:space="0" w:color="auto"/>
                    <w:left w:val="none" w:sz="0" w:space="0" w:color="auto"/>
                    <w:bottom w:val="none" w:sz="0" w:space="0" w:color="auto"/>
                    <w:right w:val="none" w:sz="0" w:space="0" w:color="auto"/>
                  </w:divBdr>
                  <w:divsChild>
                    <w:div w:id="32986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115311">
      <w:bodyDiv w:val="1"/>
      <w:marLeft w:val="0"/>
      <w:marRight w:val="0"/>
      <w:marTop w:val="0"/>
      <w:marBottom w:val="0"/>
      <w:divBdr>
        <w:top w:val="none" w:sz="0" w:space="0" w:color="auto"/>
        <w:left w:val="none" w:sz="0" w:space="0" w:color="auto"/>
        <w:bottom w:val="none" w:sz="0" w:space="0" w:color="auto"/>
        <w:right w:val="none" w:sz="0" w:space="0" w:color="auto"/>
      </w:divBdr>
      <w:divsChild>
        <w:div w:id="1457800073">
          <w:marLeft w:val="0"/>
          <w:marRight w:val="0"/>
          <w:marTop w:val="0"/>
          <w:marBottom w:val="0"/>
          <w:divBdr>
            <w:top w:val="none" w:sz="0" w:space="0" w:color="auto"/>
            <w:left w:val="none" w:sz="0" w:space="0" w:color="auto"/>
            <w:bottom w:val="none" w:sz="0" w:space="0" w:color="auto"/>
            <w:right w:val="none" w:sz="0" w:space="0" w:color="auto"/>
          </w:divBdr>
          <w:divsChild>
            <w:div w:id="1596402247">
              <w:marLeft w:val="0"/>
              <w:marRight w:val="0"/>
              <w:marTop w:val="0"/>
              <w:marBottom w:val="0"/>
              <w:divBdr>
                <w:top w:val="none" w:sz="0" w:space="0" w:color="auto"/>
                <w:left w:val="none" w:sz="0" w:space="0" w:color="auto"/>
                <w:bottom w:val="none" w:sz="0" w:space="0" w:color="auto"/>
                <w:right w:val="none" w:sz="0" w:space="0" w:color="auto"/>
              </w:divBdr>
            </w:div>
            <w:div w:id="69471258">
              <w:marLeft w:val="0"/>
              <w:marRight w:val="0"/>
              <w:marTop w:val="0"/>
              <w:marBottom w:val="0"/>
              <w:divBdr>
                <w:top w:val="none" w:sz="0" w:space="0" w:color="auto"/>
                <w:left w:val="none" w:sz="0" w:space="0" w:color="auto"/>
                <w:bottom w:val="none" w:sz="0" w:space="0" w:color="auto"/>
                <w:right w:val="none" w:sz="0" w:space="0" w:color="auto"/>
              </w:divBdr>
            </w:div>
            <w:div w:id="603271971">
              <w:marLeft w:val="0"/>
              <w:marRight w:val="0"/>
              <w:marTop w:val="0"/>
              <w:marBottom w:val="0"/>
              <w:divBdr>
                <w:top w:val="none" w:sz="0" w:space="0" w:color="auto"/>
                <w:left w:val="none" w:sz="0" w:space="0" w:color="auto"/>
                <w:bottom w:val="none" w:sz="0" w:space="0" w:color="auto"/>
                <w:right w:val="none" w:sz="0" w:space="0" w:color="auto"/>
              </w:divBdr>
              <w:divsChild>
                <w:div w:id="14998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4353">
          <w:marLeft w:val="0"/>
          <w:marRight w:val="0"/>
          <w:marTop w:val="0"/>
          <w:marBottom w:val="0"/>
          <w:divBdr>
            <w:top w:val="none" w:sz="0" w:space="0" w:color="auto"/>
            <w:left w:val="none" w:sz="0" w:space="0" w:color="auto"/>
            <w:bottom w:val="none" w:sz="0" w:space="0" w:color="auto"/>
            <w:right w:val="none" w:sz="0" w:space="0" w:color="auto"/>
          </w:divBdr>
          <w:divsChild>
            <w:div w:id="1700277286">
              <w:marLeft w:val="0"/>
              <w:marRight w:val="0"/>
              <w:marTop w:val="0"/>
              <w:marBottom w:val="0"/>
              <w:divBdr>
                <w:top w:val="none" w:sz="0" w:space="0" w:color="auto"/>
                <w:left w:val="none" w:sz="0" w:space="0" w:color="auto"/>
                <w:bottom w:val="none" w:sz="0" w:space="0" w:color="auto"/>
                <w:right w:val="none" w:sz="0" w:space="0" w:color="auto"/>
              </w:divBdr>
              <w:divsChild>
                <w:div w:id="1855729006">
                  <w:marLeft w:val="0"/>
                  <w:marRight w:val="0"/>
                  <w:marTop w:val="0"/>
                  <w:marBottom w:val="0"/>
                  <w:divBdr>
                    <w:top w:val="none" w:sz="0" w:space="0" w:color="auto"/>
                    <w:left w:val="none" w:sz="0" w:space="0" w:color="auto"/>
                    <w:bottom w:val="none" w:sz="0" w:space="0" w:color="auto"/>
                    <w:right w:val="none" w:sz="0" w:space="0" w:color="auto"/>
                  </w:divBdr>
                  <w:divsChild>
                    <w:div w:id="17951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261406">
      <w:bodyDiv w:val="1"/>
      <w:marLeft w:val="0"/>
      <w:marRight w:val="0"/>
      <w:marTop w:val="0"/>
      <w:marBottom w:val="0"/>
      <w:divBdr>
        <w:top w:val="none" w:sz="0" w:space="0" w:color="auto"/>
        <w:left w:val="none" w:sz="0" w:space="0" w:color="auto"/>
        <w:bottom w:val="none" w:sz="0" w:space="0" w:color="auto"/>
        <w:right w:val="none" w:sz="0" w:space="0" w:color="auto"/>
      </w:divBdr>
      <w:divsChild>
        <w:div w:id="433474051">
          <w:marLeft w:val="0"/>
          <w:marRight w:val="0"/>
          <w:marTop w:val="0"/>
          <w:marBottom w:val="0"/>
          <w:divBdr>
            <w:top w:val="none" w:sz="0" w:space="0" w:color="auto"/>
            <w:left w:val="none" w:sz="0" w:space="0" w:color="auto"/>
            <w:bottom w:val="none" w:sz="0" w:space="0" w:color="auto"/>
            <w:right w:val="none" w:sz="0" w:space="0" w:color="auto"/>
          </w:divBdr>
          <w:divsChild>
            <w:div w:id="2076203618">
              <w:marLeft w:val="0"/>
              <w:marRight w:val="0"/>
              <w:marTop w:val="0"/>
              <w:marBottom w:val="0"/>
              <w:divBdr>
                <w:top w:val="none" w:sz="0" w:space="0" w:color="auto"/>
                <w:left w:val="none" w:sz="0" w:space="0" w:color="auto"/>
                <w:bottom w:val="none" w:sz="0" w:space="0" w:color="auto"/>
                <w:right w:val="none" w:sz="0" w:space="0" w:color="auto"/>
              </w:divBdr>
            </w:div>
            <w:div w:id="50468777">
              <w:marLeft w:val="0"/>
              <w:marRight w:val="0"/>
              <w:marTop w:val="0"/>
              <w:marBottom w:val="0"/>
              <w:divBdr>
                <w:top w:val="none" w:sz="0" w:space="0" w:color="auto"/>
                <w:left w:val="none" w:sz="0" w:space="0" w:color="auto"/>
                <w:bottom w:val="none" w:sz="0" w:space="0" w:color="auto"/>
                <w:right w:val="none" w:sz="0" w:space="0" w:color="auto"/>
              </w:divBdr>
            </w:div>
            <w:div w:id="662127338">
              <w:marLeft w:val="0"/>
              <w:marRight w:val="0"/>
              <w:marTop w:val="0"/>
              <w:marBottom w:val="0"/>
              <w:divBdr>
                <w:top w:val="none" w:sz="0" w:space="0" w:color="auto"/>
                <w:left w:val="none" w:sz="0" w:space="0" w:color="auto"/>
                <w:bottom w:val="none" w:sz="0" w:space="0" w:color="auto"/>
                <w:right w:val="none" w:sz="0" w:space="0" w:color="auto"/>
              </w:divBdr>
              <w:divsChild>
                <w:div w:id="9419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5326">
          <w:marLeft w:val="0"/>
          <w:marRight w:val="0"/>
          <w:marTop w:val="0"/>
          <w:marBottom w:val="0"/>
          <w:divBdr>
            <w:top w:val="none" w:sz="0" w:space="0" w:color="auto"/>
            <w:left w:val="none" w:sz="0" w:space="0" w:color="auto"/>
            <w:bottom w:val="none" w:sz="0" w:space="0" w:color="auto"/>
            <w:right w:val="none" w:sz="0" w:space="0" w:color="auto"/>
          </w:divBdr>
          <w:divsChild>
            <w:div w:id="1389845361">
              <w:marLeft w:val="0"/>
              <w:marRight w:val="0"/>
              <w:marTop w:val="0"/>
              <w:marBottom w:val="0"/>
              <w:divBdr>
                <w:top w:val="none" w:sz="0" w:space="0" w:color="auto"/>
                <w:left w:val="none" w:sz="0" w:space="0" w:color="auto"/>
                <w:bottom w:val="none" w:sz="0" w:space="0" w:color="auto"/>
                <w:right w:val="none" w:sz="0" w:space="0" w:color="auto"/>
              </w:divBdr>
              <w:divsChild>
                <w:div w:id="1466586373">
                  <w:marLeft w:val="0"/>
                  <w:marRight w:val="0"/>
                  <w:marTop w:val="0"/>
                  <w:marBottom w:val="0"/>
                  <w:divBdr>
                    <w:top w:val="none" w:sz="0" w:space="0" w:color="auto"/>
                    <w:left w:val="none" w:sz="0" w:space="0" w:color="auto"/>
                    <w:bottom w:val="none" w:sz="0" w:space="0" w:color="auto"/>
                    <w:right w:val="none" w:sz="0" w:space="0" w:color="auto"/>
                  </w:divBdr>
                  <w:divsChild>
                    <w:div w:id="604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095923">
      <w:bodyDiv w:val="1"/>
      <w:marLeft w:val="0"/>
      <w:marRight w:val="0"/>
      <w:marTop w:val="0"/>
      <w:marBottom w:val="0"/>
      <w:divBdr>
        <w:top w:val="none" w:sz="0" w:space="0" w:color="auto"/>
        <w:left w:val="none" w:sz="0" w:space="0" w:color="auto"/>
        <w:bottom w:val="none" w:sz="0" w:space="0" w:color="auto"/>
        <w:right w:val="none" w:sz="0" w:space="0" w:color="auto"/>
      </w:divBdr>
      <w:divsChild>
        <w:div w:id="484855325">
          <w:marLeft w:val="0"/>
          <w:marRight w:val="0"/>
          <w:marTop w:val="0"/>
          <w:marBottom w:val="0"/>
          <w:divBdr>
            <w:top w:val="none" w:sz="0" w:space="0" w:color="auto"/>
            <w:left w:val="none" w:sz="0" w:space="0" w:color="auto"/>
            <w:bottom w:val="none" w:sz="0" w:space="0" w:color="auto"/>
            <w:right w:val="none" w:sz="0" w:space="0" w:color="auto"/>
          </w:divBdr>
          <w:divsChild>
            <w:div w:id="785539538">
              <w:marLeft w:val="0"/>
              <w:marRight w:val="0"/>
              <w:marTop w:val="0"/>
              <w:marBottom w:val="0"/>
              <w:divBdr>
                <w:top w:val="none" w:sz="0" w:space="0" w:color="auto"/>
                <w:left w:val="none" w:sz="0" w:space="0" w:color="auto"/>
                <w:bottom w:val="none" w:sz="0" w:space="0" w:color="auto"/>
                <w:right w:val="none" w:sz="0" w:space="0" w:color="auto"/>
              </w:divBdr>
            </w:div>
            <w:div w:id="1836337808">
              <w:marLeft w:val="0"/>
              <w:marRight w:val="0"/>
              <w:marTop w:val="0"/>
              <w:marBottom w:val="0"/>
              <w:divBdr>
                <w:top w:val="none" w:sz="0" w:space="0" w:color="auto"/>
                <w:left w:val="none" w:sz="0" w:space="0" w:color="auto"/>
                <w:bottom w:val="none" w:sz="0" w:space="0" w:color="auto"/>
                <w:right w:val="none" w:sz="0" w:space="0" w:color="auto"/>
              </w:divBdr>
            </w:div>
            <w:div w:id="522323992">
              <w:marLeft w:val="0"/>
              <w:marRight w:val="0"/>
              <w:marTop w:val="0"/>
              <w:marBottom w:val="0"/>
              <w:divBdr>
                <w:top w:val="none" w:sz="0" w:space="0" w:color="auto"/>
                <w:left w:val="none" w:sz="0" w:space="0" w:color="auto"/>
                <w:bottom w:val="none" w:sz="0" w:space="0" w:color="auto"/>
                <w:right w:val="none" w:sz="0" w:space="0" w:color="auto"/>
              </w:divBdr>
              <w:divsChild>
                <w:div w:id="55740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30634">
          <w:marLeft w:val="0"/>
          <w:marRight w:val="0"/>
          <w:marTop w:val="0"/>
          <w:marBottom w:val="0"/>
          <w:divBdr>
            <w:top w:val="none" w:sz="0" w:space="0" w:color="auto"/>
            <w:left w:val="none" w:sz="0" w:space="0" w:color="auto"/>
            <w:bottom w:val="none" w:sz="0" w:space="0" w:color="auto"/>
            <w:right w:val="none" w:sz="0" w:space="0" w:color="auto"/>
          </w:divBdr>
          <w:divsChild>
            <w:div w:id="142819715">
              <w:marLeft w:val="0"/>
              <w:marRight w:val="0"/>
              <w:marTop w:val="0"/>
              <w:marBottom w:val="0"/>
              <w:divBdr>
                <w:top w:val="none" w:sz="0" w:space="0" w:color="auto"/>
                <w:left w:val="none" w:sz="0" w:space="0" w:color="auto"/>
                <w:bottom w:val="none" w:sz="0" w:space="0" w:color="auto"/>
                <w:right w:val="none" w:sz="0" w:space="0" w:color="auto"/>
              </w:divBdr>
              <w:divsChild>
                <w:div w:id="840971551">
                  <w:marLeft w:val="0"/>
                  <w:marRight w:val="0"/>
                  <w:marTop w:val="0"/>
                  <w:marBottom w:val="0"/>
                  <w:divBdr>
                    <w:top w:val="none" w:sz="0" w:space="0" w:color="auto"/>
                    <w:left w:val="none" w:sz="0" w:space="0" w:color="auto"/>
                    <w:bottom w:val="none" w:sz="0" w:space="0" w:color="auto"/>
                    <w:right w:val="none" w:sz="0" w:space="0" w:color="auto"/>
                  </w:divBdr>
                  <w:divsChild>
                    <w:div w:id="13005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amil\Documents\P&#243;s-doutorado\Artigos%20escritos\Artigo%201%20PosDoc\Camil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amil\Desktop\Dados%20haste%20disco%20RV%20(1)%20TCC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81284070260452"/>
          <c:y val="0.11728297352412753"/>
          <c:w val="0.77187074121744392"/>
          <c:h val="0.74185128913177856"/>
        </c:manualLayout>
      </c:layout>
      <c:barChart>
        <c:barDir val="col"/>
        <c:grouping val="clustered"/>
        <c:varyColors val="0"/>
        <c:ser>
          <c:idx val="0"/>
          <c:order val="0"/>
          <c:tx>
            <c:v>Precipitação</c:v>
          </c:tx>
          <c:invertIfNegative val="0"/>
          <c:cat>
            <c:numRef>
              <c:f>'21.22'!$A$2:$A$151</c:f>
              <c:numCache>
                <c:formatCode>m/d/yyyy</c:formatCode>
                <c:ptCount val="150"/>
                <c:pt idx="0">
                  <c:v>44501</c:v>
                </c:pt>
                <c:pt idx="1">
                  <c:v>44502</c:v>
                </c:pt>
                <c:pt idx="2">
                  <c:v>44503</c:v>
                </c:pt>
                <c:pt idx="3">
                  <c:v>44504</c:v>
                </c:pt>
                <c:pt idx="4">
                  <c:v>44505</c:v>
                </c:pt>
                <c:pt idx="5">
                  <c:v>44506</c:v>
                </c:pt>
                <c:pt idx="6">
                  <c:v>44507</c:v>
                </c:pt>
                <c:pt idx="7">
                  <c:v>44508</c:v>
                </c:pt>
                <c:pt idx="8">
                  <c:v>44509</c:v>
                </c:pt>
                <c:pt idx="9">
                  <c:v>44510</c:v>
                </c:pt>
                <c:pt idx="10">
                  <c:v>44511</c:v>
                </c:pt>
                <c:pt idx="11">
                  <c:v>44512</c:v>
                </c:pt>
                <c:pt idx="12">
                  <c:v>44513</c:v>
                </c:pt>
                <c:pt idx="13">
                  <c:v>44514</c:v>
                </c:pt>
                <c:pt idx="14">
                  <c:v>44515</c:v>
                </c:pt>
                <c:pt idx="15">
                  <c:v>44516</c:v>
                </c:pt>
                <c:pt idx="16">
                  <c:v>44517</c:v>
                </c:pt>
                <c:pt idx="17">
                  <c:v>44518</c:v>
                </c:pt>
                <c:pt idx="18">
                  <c:v>44519</c:v>
                </c:pt>
                <c:pt idx="19">
                  <c:v>44520</c:v>
                </c:pt>
                <c:pt idx="20">
                  <c:v>44521</c:v>
                </c:pt>
                <c:pt idx="21">
                  <c:v>44522</c:v>
                </c:pt>
                <c:pt idx="22">
                  <c:v>44523</c:v>
                </c:pt>
                <c:pt idx="23">
                  <c:v>44524</c:v>
                </c:pt>
                <c:pt idx="24">
                  <c:v>44525</c:v>
                </c:pt>
                <c:pt idx="25">
                  <c:v>44526</c:v>
                </c:pt>
                <c:pt idx="26">
                  <c:v>44527</c:v>
                </c:pt>
                <c:pt idx="27">
                  <c:v>44528</c:v>
                </c:pt>
                <c:pt idx="28">
                  <c:v>44529</c:v>
                </c:pt>
                <c:pt idx="29">
                  <c:v>44530</c:v>
                </c:pt>
                <c:pt idx="30">
                  <c:v>44531</c:v>
                </c:pt>
                <c:pt idx="31">
                  <c:v>44532</c:v>
                </c:pt>
                <c:pt idx="32">
                  <c:v>44533</c:v>
                </c:pt>
                <c:pt idx="33">
                  <c:v>44534</c:v>
                </c:pt>
                <c:pt idx="34">
                  <c:v>44535</c:v>
                </c:pt>
                <c:pt idx="35">
                  <c:v>44536</c:v>
                </c:pt>
                <c:pt idx="36">
                  <c:v>44537</c:v>
                </c:pt>
                <c:pt idx="37">
                  <c:v>44538</c:v>
                </c:pt>
                <c:pt idx="38">
                  <c:v>44539</c:v>
                </c:pt>
                <c:pt idx="39">
                  <c:v>44540</c:v>
                </c:pt>
                <c:pt idx="40">
                  <c:v>44541</c:v>
                </c:pt>
                <c:pt idx="41">
                  <c:v>44542</c:v>
                </c:pt>
                <c:pt idx="42">
                  <c:v>44543</c:v>
                </c:pt>
                <c:pt idx="43">
                  <c:v>44544</c:v>
                </c:pt>
                <c:pt idx="44">
                  <c:v>44545</c:v>
                </c:pt>
                <c:pt idx="45">
                  <c:v>44546</c:v>
                </c:pt>
                <c:pt idx="46">
                  <c:v>44547</c:v>
                </c:pt>
                <c:pt idx="47">
                  <c:v>44548</c:v>
                </c:pt>
                <c:pt idx="48">
                  <c:v>44549</c:v>
                </c:pt>
                <c:pt idx="49">
                  <c:v>44550</c:v>
                </c:pt>
                <c:pt idx="50">
                  <c:v>44551</c:v>
                </c:pt>
                <c:pt idx="51">
                  <c:v>44552</c:v>
                </c:pt>
                <c:pt idx="52">
                  <c:v>44553</c:v>
                </c:pt>
                <c:pt idx="53">
                  <c:v>44554</c:v>
                </c:pt>
                <c:pt idx="54">
                  <c:v>44555</c:v>
                </c:pt>
                <c:pt idx="55">
                  <c:v>44556</c:v>
                </c:pt>
                <c:pt idx="56">
                  <c:v>44557</c:v>
                </c:pt>
                <c:pt idx="57">
                  <c:v>44558</c:v>
                </c:pt>
                <c:pt idx="58">
                  <c:v>44559</c:v>
                </c:pt>
                <c:pt idx="59">
                  <c:v>44560</c:v>
                </c:pt>
                <c:pt idx="60">
                  <c:v>44561</c:v>
                </c:pt>
                <c:pt idx="61">
                  <c:v>44562</c:v>
                </c:pt>
                <c:pt idx="62">
                  <c:v>44563</c:v>
                </c:pt>
                <c:pt idx="63">
                  <c:v>44564</c:v>
                </c:pt>
                <c:pt idx="64">
                  <c:v>44565</c:v>
                </c:pt>
                <c:pt idx="65">
                  <c:v>44566</c:v>
                </c:pt>
                <c:pt idx="66">
                  <c:v>44567</c:v>
                </c:pt>
                <c:pt idx="67">
                  <c:v>44568</c:v>
                </c:pt>
                <c:pt idx="68">
                  <c:v>44569</c:v>
                </c:pt>
                <c:pt idx="69">
                  <c:v>44570</c:v>
                </c:pt>
                <c:pt idx="70">
                  <c:v>44571</c:v>
                </c:pt>
                <c:pt idx="71">
                  <c:v>44572</c:v>
                </c:pt>
                <c:pt idx="72">
                  <c:v>44573</c:v>
                </c:pt>
                <c:pt idx="73">
                  <c:v>44574</c:v>
                </c:pt>
                <c:pt idx="74">
                  <c:v>44575</c:v>
                </c:pt>
                <c:pt idx="75">
                  <c:v>44576</c:v>
                </c:pt>
                <c:pt idx="76">
                  <c:v>44577</c:v>
                </c:pt>
                <c:pt idx="77">
                  <c:v>44578</c:v>
                </c:pt>
                <c:pt idx="78">
                  <c:v>44579</c:v>
                </c:pt>
                <c:pt idx="79">
                  <c:v>44580</c:v>
                </c:pt>
                <c:pt idx="80">
                  <c:v>44581</c:v>
                </c:pt>
                <c:pt idx="81">
                  <c:v>44582</c:v>
                </c:pt>
                <c:pt idx="82">
                  <c:v>44583</c:v>
                </c:pt>
                <c:pt idx="83">
                  <c:v>44584</c:v>
                </c:pt>
                <c:pt idx="84">
                  <c:v>44585</c:v>
                </c:pt>
                <c:pt idx="85">
                  <c:v>44586</c:v>
                </c:pt>
                <c:pt idx="86">
                  <c:v>44587</c:v>
                </c:pt>
                <c:pt idx="87">
                  <c:v>44588</c:v>
                </c:pt>
                <c:pt idx="88">
                  <c:v>44589</c:v>
                </c:pt>
                <c:pt idx="89">
                  <c:v>44590</c:v>
                </c:pt>
                <c:pt idx="90">
                  <c:v>44591</c:v>
                </c:pt>
                <c:pt idx="91">
                  <c:v>44592</c:v>
                </c:pt>
                <c:pt idx="92">
                  <c:v>44593</c:v>
                </c:pt>
                <c:pt idx="93">
                  <c:v>44594</c:v>
                </c:pt>
                <c:pt idx="94">
                  <c:v>44595</c:v>
                </c:pt>
                <c:pt idx="95">
                  <c:v>44596</c:v>
                </c:pt>
                <c:pt idx="96">
                  <c:v>44597</c:v>
                </c:pt>
                <c:pt idx="97">
                  <c:v>44598</c:v>
                </c:pt>
                <c:pt idx="98">
                  <c:v>44599</c:v>
                </c:pt>
                <c:pt idx="99">
                  <c:v>44600</c:v>
                </c:pt>
                <c:pt idx="100">
                  <c:v>44601</c:v>
                </c:pt>
                <c:pt idx="101">
                  <c:v>44602</c:v>
                </c:pt>
                <c:pt idx="102">
                  <c:v>44603</c:v>
                </c:pt>
                <c:pt idx="103">
                  <c:v>44604</c:v>
                </c:pt>
                <c:pt idx="104">
                  <c:v>44605</c:v>
                </c:pt>
                <c:pt idx="105">
                  <c:v>44606</c:v>
                </c:pt>
                <c:pt idx="106">
                  <c:v>44607</c:v>
                </c:pt>
                <c:pt idx="107">
                  <c:v>44608</c:v>
                </c:pt>
                <c:pt idx="108">
                  <c:v>44609</c:v>
                </c:pt>
                <c:pt idx="109">
                  <c:v>44610</c:v>
                </c:pt>
                <c:pt idx="110">
                  <c:v>44611</c:v>
                </c:pt>
                <c:pt idx="111">
                  <c:v>44612</c:v>
                </c:pt>
                <c:pt idx="112">
                  <c:v>44613</c:v>
                </c:pt>
                <c:pt idx="113">
                  <c:v>44614</c:v>
                </c:pt>
                <c:pt idx="114">
                  <c:v>44615</c:v>
                </c:pt>
                <c:pt idx="115">
                  <c:v>44616</c:v>
                </c:pt>
                <c:pt idx="116">
                  <c:v>44617</c:v>
                </c:pt>
                <c:pt idx="117">
                  <c:v>44618</c:v>
                </c:pt>
                <c:pt idx="118">
                  <c:v>44619</c:v>
                </c:pt>
                <c:pt idx="119">
                  <c:v>44620</c:v>
                </c:pt>
                <c:pt idx="120">
                  <c:v>44621</c:v>
                </c:pt>
                <c:pt idx="121">
                  <c:v>44622</c:v>
                </c:pt>
                <c:pt idx="122">
                  <c:v>44623</c:v>
                </c:pt>
                <c:pt idx="123">
                  <c:v>44624</c:v>
                </c:pt>
                <c:pt idx="124">
                  <c:v>44625</c:v>
                </c:pt>
                <c:pt idx="125">
                  <c:v>44626</c:v>
                </c:pt>
                <c:pt idx="126">
                  <c:v>44627</c:v>
                </c:pt>
                <c:pt idx="127">
                  <c:v>44628</c:v>
                </c:pt>
                <c:pt idx="128">
                  <c:v>44629</c:v>
                </c:pt>
                <c:pt idx="129">
                  <c:v>44630</c:v>
                </c:pt>
                <c:pt idx="130">
                  <c:v>44631</c:v>
                </c:pt>
                <c:pt idx="131">
                  <c:v>44632</c:v>
                </c:pt>
                <c:pt idx="132">
                  <c:v>44633</c:v>
                </c:pt>
                <c:pt idx="133">
                  <c:v>44634</c:v>
                </c:pt>
                <c:pt idx="134">
                  <c:v>44635</c:v>
                </c:pt>
                <c:pt idx="135">
                  <c:v>44636</c:v>
                </c:pt>
                <c:pt idx="136">
                  <c:v>44637</c:v>
                </c:pt>
                <c:pt idx="137">
                  <c:v>44638</c:v>
                </c:pt>
                <c:pt idx="138">
                  <c:v>44639</c:v>
                </c:pt>
                <c:pt idx="139">
                  <c:v>44640</c:v>
                </c:pt>
                <c:pt idx="140">
                  <c:v>44641</c:v>
                </c:pt>
                <c:pt idx="141">
                  <c:v>44642</c:v>
                </c:pt>
                <c:pt idx="142">
                  <c:v>44643</c:v>
                </c:pt>
                <c:pt idx="143">
                  <c:v>44644</c:v>
                </c:pt>
                <c:pt idx="144">
                  <c:v>44645</c:v>
                </c:pt>
                <c:pt idx="145">
                  <c:v>44646</c:v>
                </c:pt>
                <c:pt idx="146">
                  <c:v>44647</c:v>
                </c:pt>
                <c:pt idx="147">
                  <c:v>44648</c:v>
                </c:pt>
                <c:pt idx="148">
                  <c:v>44649</c:v>
                </c:pt>
                <c:pt idx="149">
                  <c:v>44650</c:v>
                </c:pt>
              </c:numCache>
            </c:numRef>
          </c:cat>
          <c:val>
            <c:numRef>
              <c:f>'21.22'!$C$2:$C$151</c:f>
              <c:numCache>
                <c:formatCode>General</c:formatCode>
                <c:ptCount val="150"/>
                <c:pt idx="0">
                  <c:v>0</c:v>
                </c:pt>
                <c:pt idx="1">
                  <c:v>4.0599999999999996</c:v>
                </c:pt>
                <c:pt idx="2">
                  <c:v>0.76</c:v>
                </c:pt>
                <c:pt idx="3">
                  <c:v>0</c:v>
                </c:pt>
                <c:pt idx="4">
                  <c:v>0</c:v>
                </c:pt>
                <c:pt idx="5">
                  <c:v>0</c:v>
                </c:pt>
                <c:pt idx="6">
                  <c:v>0.51</c:v>
                </c:pt>
                <c:pt idx="7">
                  <c:v>2.54</c:v>
                </c:pt>
                <c:pt idx="8">
                  <c:v>3.81</c:v>
                </c:pt>
                <c:pt idx="9">
                  <c:v>2.54</c:v>
                </c:pt>
                <c:pt idx="10">
                  <c:v>43.18</c:v>
                </c:pt>
                <c:pt idx="11">
                  <c:v>18.54</c:v>
                </c:pt>
                <c:pt idx="12">
                  <c:v>0</c:v>
                </c:pt>
                <c:pt idx="13">
                  <c:v>28.7</c:v>
                </c:pt>
                <c:pt idx="14">
                  <c:v>0</c:v>
                </c:pt>
                <c:pt idx="15">
                  <c:v>0.51</c:v>
                </c:pt>
                <c:pt idx="16">
                  <c:v>7.62</c:v>
                </c:pt>
                <c:pt idx="17">
                  <c:v>5.84</c:v>
                </c:pt>
                <c:pt idx="18">
                  <c:v>11.43</c:v>
                </c:pt>
                <c:pt idx="19">
                  <c:v>4.57</c:v>
                </c:pt>
                <c:pt idx="20">
                  <c:v>13.46</c:v>
                </c:pt>
                <c:pt idx="21">
                  <c:v>0.76</c:v>
                </c:pt>
                <c:pt idx="22">
                  <c:v>0</c:v>
                </c:pt>
                <c:pt idx="23">
                  <c:v>0</c:v>
                </c:pt>
                <c:pt idx="24">
                  <c:v>0</c:v>
                </c:pt>
                <c:pt idx="25">
                  <c:v>1.52</c:v>
                </c:pt>
                <c:pt idx="26">
                  <c:v>0</c:v>
                </c:pt>
                <c:pt idx="27">
                  <c:v>0</c:v>
                </c:pt>
                <c:pt idx="28">
                  <c:v>64.77</c:v>
                </c:pt>
                <c:pt idx="29">
                  <c:v>13.72</c:v>
                </c:pt>
                <c:pt idx="30">
                  <c:v>0</c:v>
                </c:pt>
                <c:pt idx="31">
                  <c:v>8.1300000000000008</c:v>
                </c:pt>
                <c:pt idx="32">
                  <c:v>0</c:v>
                </c:pt>
                <c:pt idx="33">
                  <c:v>0</c:v>
                </c:pt>
                <c:pt idx="34">
                  <c:v>0</c:v>
                </c:pt>
                <c:pt idx="35">
                  <c:v>3.56</c:v>
                </c:pt>
                <c:pt idx="36">
                  <c:v>6.86</c:v>
                </c:pt>
                <c:pt idx="37">
                  <c:v>0</c:v>
                </c:pt>
                <c:pt idx="38">
                  <c:v>0</c:v>
                </c:pt>
                <c:pt idx="39">
                  <c:v>0</c:v>
                </c:pt>
                <c:pt idx="40">
                  <c:v>0</c:v>
                </c:pt>
                <c:pt idx="41">
                  <c:v>0</c:v>
                </c:pt>
                <c:pt idx="42">
                  <c:v>3.05</c:v>
                </c:pt>
                <c:pt idx="43">
                  <c:v>35.049999999999997</c:v>
                </c:pt>
                <c:pt idx="44">
                  <c:v>21.59</c:v>
                </c:pt>
                <c:pt idx="45">
                  <c:v>25.15</c:v>
                </c:pt>
                <c:pt idx="46">
                  <c:v>1.27</c:v>
                </c:pt>
                <c:pt idx="47">
                  <c:v>16.260000000000002</c:v>
                </c:pt>
                <c:pt idx="48">
                  <c:v>3.05</c:v>
                </c:pt>
                <c:pt idx="49">
                  <c:v>0</c:v>
                </c:pt>
                <c:pt idx="50">
                  <c:v>0</c:v>
                </c:pt>
                <c:pt idx="51">
                  <c:v>3.3</c:v>
                </c:pt>
                <c:pt idx="52">
                  <c:v>0</c:v>
                </c:pt>
                <c:pt idx="53">
                  <c:v>32</c:v>
                </c:pt>
                <c:pt idx="54">
                  <c:v>0</c:v>
                </c:pt>
                <c:pt idx="55">
                  <c:v>0</c:v>
                </c:pt>
                <c:pt idx="56">
                  <c:v>0</c:v>
                </c:pt>
                <c:pt idx="57">
                  <c:v>0</c:v>
                </c:pt>
                <c:pt idx="58">
                  <c:v>15.75</c:v>
                </c:pt>
                <c:pt idx="59">
                  <c:v>32.51</c:v>
                </c:pt>
                <c:pt idx="60">
                  <c:v>13.46</c:v>
                </c:pt>
                <c:pt idx="61">
                  <c:v>0.76</c:v>
                </c:pt>
                <c:pt idx="62">
                  <c:v>24.13</c:v>
                </c:pt>
                <c:pt idx="63">
                  <c:v>4.83</c:v>
                </c:pt>
                <c:pt idx="64">
                  <c:v>28.7</c:v>
                </c:pt>
                <c:pt idx="65">
                  <c:v>0</c:v>
                </c:pt>
                <c:pt idx="66">
                  <c:v>23.62</c:v>
                </c:pt>
                <c:pt idx="67">
                  <c:v>43.94</c:v>
                </c:pt>
                <c:pt idx="68">
                  <c:v>29.97</c:v>
                </c:pt>
                <c:pt idx="69">
                  <c:v>4.57</c:v>
                </c:pt>
                <c:pt idx="70">
                  <c:v>22.86</c:v>
                </c:pt>
                <c:pt idx="71">
                  <c:v>0</c:v>
                </c:pt>
                <c:pt idx="72">
                  <c:v>31.24</c:v>
                </c:pt>
                <c:pt idx="73">
                  <c:v>1.27</c:v>
                </c:pt>
                <c:pt idx="74">
                  <c:v>0</c:v>
                </c:pt>
                <c:pt idx="75">
                  <c:v>0</c:v>
                </c:pt>
                <c:pt idx="76">
                  <c:v>0</c:v>
                </c:pt>
                <c:pt idx="77">
                  <c:v>3.05</c:v>
                </c:pt>
                <c:pt idx="78">
                  <c:v>1.27</c:v>
                </c:pt>
                <c:pt idx="79">
                  <c:v>0</c:v>
                </c:pt>
                <c:pt idx="80">
                  <c:v>0</c:v>
                </c:pt>
                <c:pt idx="81">
                  <c:v>0</c:v>
                </c:pt>
                <c:pt idx="82">
                  <c:v>0</c:v>
                </c:pt>
                <c:pt idx="83">
                  <c:v>0</c:v>
                </c:pt>
                <c:pt idx="84">
                  <c:v>0</c:v>
                </c:pt>
                <c:pt idx="85">
                  <c:v>0</c:v>
                </c:pt>
                <c:pt idx="86">
                  <c:v>13.97</c:v>
                </c:pt>
                <c:pt idx="87">
                  <c:v>9.4</c:v>
                </c:pt>
                <c:pt idx="88">
                  <c:v>11.18</c:v>
                </c:pt>
                <c:pt idx="89">
                  <c:v>0.76</c:v>
                </c:pt>
                <c:pt idx="90">
                  <c:v>1.78</c:v>
                </c:pt>
                <c:pt idx="91">
                  <c:v>10.92</c:v>
                </c:pt>
                <c:pt idx="92">
                  <c:v>5.84</c:v>
                </c:pt>
                <c:pt idx="93">
                  <c:v>0.25</c:v>
                </c:pt>
                <c:pt idx="94">
                  <c:v>2.29</c:v>
                </c:pt>
                <c:pt idx="95">
                  <c:v>0</c:v>
                </c:pt>
                <c:pt idx="96">
                  <c:v>0.25</c:v>
                </c:pt>
                <c:pt idx="97">
                  <c:v>35.56</c:v>
                </c:pt>
                <c:pt idx="98">
                  <c:v>14.73</c:v>
                </c:pt>
                <c:pt idx="99">
                  <c:v>3.56</c:v>
                </c:pt>
                <c:pt idx="100">
                  <c:v>3.05</c:v>
                </c:pt>
                <c:pt idx="101">
                  <c:v>3.3</c:v>
                </c:pt>
                <c:pt idx="102">
                  <c:v>7.62</c:v>
                </c:pt>
                <c:pt idx="103">
                  <c:v>2.29</c:v>
                </c:pt>
                <c:pt idx="104">
                  <c:v>29.72</c:v>
                </c:pt>
                <c:pt idx="105">
                  <c:v>18.8</c:v>
                </c:pt>
                <c:pt idx="106">
                  <c:v>12.45</c:v>
                </c:pt>
                <c:pt idx="107">
                  <c:v>2.79</c:v>
                </c:pt>
                <c:pt idx="108">
                  <c:v>51.56</c:v>
                </c:pt>
                <c:pt idx="109">
                  <c:v>3.3</c:v>
                </c:pt>
                <c:pt idx="110">
                  <c:v>2.29</c:v>
                </c:pt>
                <c:pt idx="111">
                  <c:v>3.81</c:v>
                </c:pt>
                <c:pt idx="112">
                  <c:v>0</c:v>
                </c:pt>
                <c:pt idx="113">
                  <c:v>0</c:v>
                </c:pt>
                <c:pt idx="114">
                  <c:v>0</c:v>
                </c:pt>
                <c:pt idx="115">
                  <c:v>13.72</c:v>
                </c:pt>
                <c:pt idx="116">
                  <c:v>0</c:v>
                </c:pt>
                <c:pt idx="117">
                  <c:v>14.22</c:v>
                </c:pt>
                <c:pt idx="118">
                  <c:v>0</c:v>
                </c:pt>
                <c:pt idx="119">
                  <c:v>0</c:v>
                </c:pt>
                <c:pt idx="120">
                  <c:v>0</c:v>
                </c:pt>
                <c:pt idx="121">
                  <c:v>0</c:v>
                </c:pt>
                <c:pt idx="122">
                  <c:v>8.89</c:v>
                </c:pt>
                <c:pt idx="123">
                  <c:v>0</c:v>
                </c:pt>
                <c:pt idx="124">
                  <c:v>0</c:v>
                </c:pt>
                <c:pt idx="125">
                  <c:v>0</c:v>
                </c:pt>
                <c:pt idx="126">
                  <c:v>0</c:v>
                </c:pt>
                <c:pt idx="127">
                  <c:v>0</c:v>
                </c:pt>
                <c:pt idx="128">
                  <c:v>0</c:v>
                </c:pt>
                <c:pt idx="129">
                  <c:v>0</c:v>
                </c:pt>
                <c:pt idx="130">
                  <c:v>7.11</c:v>
                </c:pt>
                <c:pt idx="131">
                  <c:v>21.59</c:v>
                </c:pt>
                <c:pt idx="132">
                  <c:v>2.79</c:v>
                </c:pt>
                <c:pt idx="133">
                  <c:v>51.05</c:v>
                </c:pt>
                <c:pt idx="134">
                  <c:v>11.94</c:v>
                </c:pt>
                <c:pt idx="135">
                  <c:v>106.17</c:v>
                </c:pt>
                <c:pt idx="136">
                  <c:v>1.02</c:v>
                </c:pt>
                <c:pt idx="137">
                  <c:v>0</c:v>
                </c:pt>
                <c:pt idx="138">
                  <c:v>28.96</c:v>
                </c:pt>
                <c:pt idx="139">
                  <c:v>0</c:v>
                </c:pt>
                <c:pt idx="140">
                  <c:v>0</c:v>
                </c:pt>
                <c:pt idx="141">
                  <c:v>0</c:v>
                </c:pt>
                <c:pt idx="142">
                  <c:v>0</c:v>
                </c:pt>
                <c:pt idx="143">
                  <c:v>0</c:v>
                </c:pt>
                <c:pt idx="144">
                  <c:v>73.91</c:v>
                </c:pt>
                <c:pt idx="145">
                  <c:v>0.51</c:v>
                </c:pt>
                <c:pt idx="146">
                  <c:v>0</c:v>
                </c:pt>
                <c:pt idx="147">
                  <c:v>0</c:v>
                </c:pt>
                <c:pt idx="148">
                  <c:v>0</c:v>
                </c:pt>
                <c:pt idx="149">
                  <c:v>0.76</c:v>
                </c:pt>
              </c:numCache>
            </c:numRef>
          </c:val>
          <c:extLst xmlns:c16r2="http://schemas.microsoft.com/office/drawing/2015/06/chart">
            <c:ext xmlns:c16="http://schemas.microsoft.com/office/drawing/2014/chart" uri="{C3380CC4-5D6E-409C-BE32-E72D297353CC}">
              <c16:uniqueId val="{00000000-AF2F-4E49-995B-614271DC3D0C}"/>
            </c:ext>
          </c:extLst>
        </c:ser>
        <c:dLbls>
          <c:showLegendKey val="0"/>
          <c:showVal val="0"/>
          <c:showCatName val="0"/>
          <c:showSerName val="0"/>
          <c:showPercent val="0"/>
          <c:showBubbleSize val="0"/>
        </c:dLbls>
        <c:gapWidth val="219"/>
        <c:overlap val="-27"/>
        <c:axId val="-1096793888"/>
        <c:axId val="-1096787360"/>
      </c:barChart>
      <c:lineChart>
        <c:grouping val="standard"/>
        <c:varyColors val="0"/>
        <c:ser>
          <c:idx val="1"/>
          <c:order val="1"/>
          <c:tx>
            <c:v>T. média</c:v>
          </c:tx>
          <c:spPr>
            <a:ln w="12700">
              <a:solidFill>
                <a:schemeClr val="tx1"/>
              </a:solidFill>
            </a:ln>
            <a:effectLst/>
          </c:spPr>
          <c:marker>
            <c:symbol val="none"/>
          </c:marker>
          <c:cat>
            <c:numRef>
              <c:f>'21.22'!$A$2:$A$177</c:f>
              <c:numCache>
                <c:formatCode>m/d/yyyy</c:formatCode>
                <c:ptCount val="176"/>
                <c:pt idx="0">
                  <c:v>44501</c:v>
                </c:pt>
                <c:pt idx="1">
                  <c:v>44502</c:v>
                </c:pt>
                <c:pt idx="2">
                  <c:v>44503</c:v>
                </c:pt>
                <c:pt idx="3">
                  <c:v>44504</c:v>
                </c:pt>
                <c:pt idx="4">
                  <c:v>44505</c:v>
                </c:pt>
                <c:pt idx="5">
                  <c:v>44506</c:v>
                </c:pt>
                <c:pt idx="6">
                  <c:v>44507</c:v>
                </c:pt>
                <c:pt idx="7">
                  <c:v>44508</c:v>
                </c:pt>
                <c:pt idx="8">
                  <c:v>44509</c:v>
                </c:pt>
                <c:pt idx="9">
                  <c:v>44510</c:v>
                </c:pt>
                <c:pt idx="10">
                  <c:v>44511</c:v>
                </c:pt>
                <c:pt idx="11">
                  <c:v>44512</c:v>
                </c:pt>
                <c:pt idx="12">
                  <c:v>44513</c:v>
                </c:pt>
                <c:pt idx="13">
                  <c:v>44514</c:v>
                </c:pt>
                <c:pt idx="14">
                  <c:v>44515</c:v>
                </c:pt>
                <c:pt idx="15">
                  <c:v>44516</c:v>
                </c:pt>
                <c:pt idx="16">
                  <c:v>44517</c:v>
                </c:pt>
                <c:pt idx="17">
                  <c:v>44518</c:v>
                </c:pt>
                <c:pt idx="18">
                  <c:v>44519</c:v>
                </c:pt>
                <c:pt idx="19">
                  <c:v>44520</c:v>
                </c:pt>
                <c:pt idx="20">
                  <c:v>44521</c:v>
                </c:pt>
                <c:pt idx="21">
                  <c:v>44522</c:v>
                </c:pt>
                <c:pt idx="22">
                  <c:v>44523</c:v>
                </c:pt>
                <c:pt idx="23">
                  <c:v>44524</c:v>
                </c:pt>
                <c:pt idx="24">
                  <c:v>44525</c:v>
                </c:pt>
                <c:pt idx="25">
                  <c:v>44526</c:v>
                </c:pt>
                <c:pt idx="26">
                  <c:v>44527</c:v>
                </c:pt>
                <c:pt idx="27">
                  <c:v>44528</c:v>
                </c:pt>
                <c:pt idx="28">
                  <c:v>44529</c:v>
                </c:pt>
                <c:pt idx="29">
                  <c:v>44530</c:v>
                </c:pt>
                <c:pt idx="30">
                  <c:v>44531</c:v>
                </c:pt>
                <c:pt idx="31">
                  <c:v>44532</c:v>
                </c:pt>
                <c:pt idx="32">
                  <c:v>44533</c:v>
                </c:pt>
                <c:pt idx="33">
                  <c:v>44534</c:v>
                </c:pt>
                <c:pt idx="34">
                  <c:v>44535</c:v>
                </c:pt>
                <c:pt idx="35">
                  <c:v>44536</c:v>
                </c:pt>
                <c:pt idx="36">
                  <c:v>44537</c:v>
                </c:pt>
                <c:pt idx="37">
                  <c:v>44538</c:v>
                </c:pt>
                <c:pt idx="38">
                  <c:v>44539</c:v>
                </c:pt>
                <c:pt idx="39">
                  <c:v>44540</c:v>
                </c:pt>
                <c:pt idx="40">
                  <c:v>44541</c:v>
                </c:pt>
                <c:pt idx="41">
                  <c:v>44542</c:v>
                </c:pt>
                <c:pt idx="42">
                  <c:v>44543</c:v>
                </c:pt>
                <c:pt idx="43">
                  <c:v>44544</c:v>
                </c:pt>
                <c:pt idx="44">
                  <c:v>44545</c:v>
                </c:pt>
                <c:pt idx="45">
                  <c:v>44546</c:v>
                </c:pt>
                <c:pt idx="46">
                  <c:v>44547</c:v>
                </c:pt>
                <c:pt idx="47">
                  <c:v>44548</c:v>
                </c:pt>
                <c:pt idx="48">
                  <c:v>44549</c:v>
                </c:pt>
                <c:pt idx="49">
                  <c:v>44550</c:v>
                </c:pt>
                <c:pt idx="50">
                  <c:v>44551</c:v>
                </c:pt>
                <c:pt idx="51">
                  <c:v>44552</c:v>
                </c:pt>
                <c:pt idx="52">
                  <c:v>44553</c:v>
                </c:pt>
                <c:pt idx="53">
                  <c:v>44554</c:v>
                </c:pt>
                <c:pt idx="54">
                  <c:v>44555</c:v>
                </c:pt>
                <c:pt idx="55">
                  <c:v>44556</c:v>
                </c:pt>
                <c:pt idx="56">
                  <c:v>44557</c:v>
                </c:pt>
                <c:pt idx="57">
                  <c:v>44558</c:v>
                </c:pt>
                <c:pt idx="58">
                  <c:v>44559</c:v>
                </c:pt>
                <c:pt idx="59">
                  <c:v>44560</c:v>
                </c:pt>
                <c:pt idx="60">
                  <c:v>44561</c:v>
                </c:pt>
                <c:pt idx="61">
                  <c:v>44562</c:v>
                </c:pt>
                <c:pt idx="62">
                  <c:v>44563</c:v>
                </c:pt>
                <c:pt idx="63">
                  <c:v>44564</c:v>
                </c:pt>
                <c:pt idx="64">
                  <c:v>44565</c:v>
                </c:pt>
                <c:pt idx="65">
                  <c:v>44566</c:v>
                </c:pt>
                <c:pt idx="66">
                  <c:v>44567</c:v>
                </c:pt>
                <c:pt idx="67">
                  <c:v>44568</c:v>
                </c:pt>
                <c:pt idx="68">
                  <c:v>44569</c:v>
                </c:pt>
                <c:pt idx="69">
                  <c:v>44570</c:v>
                </c:pt>
                <c:pt idx="70">
                  <c:v>44571</c:v>
                </c:pt>
                <c:pt idx="71">
                  <c:v>44572</c:v>
                </c:pt>
                <c:pt idx="72">
                  <c:v>44573</c:v>
                </c:pt>
                <c:pt idx="73">
                  <c:v>44574</c:v>
                </c:pt>
                <c:pt idx="74">
                  <c:v>44575</c:v>
                </c:pt>
                <c:pt idx="75">
                  <c:v>44576</c:v>
                </c:pt>
                <c:pt idx="76">
                  <c:v>44577</c:v>
                </c:pt>
                <c:pt idx="77">
                  <c:v>44578</c:v>
                </c:pt>
                <c:pt idx="78">
                  <c:v>44579</c:v>
                </c:pt>
                <c:pt idx="79">
                  <c:v>44580</c:v>
                </c:pt>
                <c:pt idx="80">
                  <c:v>44581</c:v>
                </c:pt>
                <c:pt idx="81">
                  <c:v>44582</c:v>
                </c:pt>
                <c:pt idx="82">
                  <c:v>44583</c:v>
                </c:pt>
                <c:pt idx="83">
                  <c:v>44584</c:v>
                </c:pt>
                <c:pt idx="84">
                  <c:v>44585</c:v>
                </c:pt>
                <c:pt idx="85">
                  <c:v>44586</c:v>
                </c:pt>
                <c:pt idx="86">
                  <c:v>44587</c:v>
                </c:pt>
                <c:pt idx="87">
                  <c:v>44588</c:v>
                </c:pt>
                <c:pt idx="88">
                  <c:v>44589</c:v>
                </c:pt>
                <c:pt idx="89">
                  <c:v>44590</c:v>
                </c:pt>
                <c:pt idx="90">
                  <c:v>44591</c:v>
                </c:pt>
                <c:pt idx="91">
                  <c:v>44592</c:v>
                </c:pt>
                <c:pt idx="92">
                  <c:v>44593</c:v>
                </c:pt>
                <c:pt idx="93">
                  <c:v>44594</c:v>
                </c:pt>
                <c:pt idx="94">
                  <c:v>44595</c:v>
                </c:pt>
                <c:pt idx="95">
                  <c:v>44596</c:v>
                </c:pt>
                <c:pt idx="96">
                  <c:v>44597</c:v>
                </c:pt>
                <c:pt idx="97">
                  <c:v>44598</c:v>
                </c:pt>
                <c:pt idx="98">
                  <c:v>44599</c:v>
                </c:pt>
                <c:pt idx="99">
                  <c:v>44600</c:v>
                </c:pt>
                <c:pt idx="100">
                  <c:v>44601</c:v>
                </c:pt>
                <c:pt idx="101">
                  <c:v>44602</c:v>
                </c:pt>
                <c:pt idx="102">
                  <c:v>44603</c:v>
                </c:pt>
                <c:pt idx="103">
                  <c:v>44604</c:v>
                </c:pt>
                <c:pt idx="104">
                  <c:v>44605</c:v>
                </c:pt>
                <c:pt idx="105">
                  <c:v>44606</c:v>
                </c:pt>
                <c:pt idx="106">
                  <c:v>44607</c:v>
                </c:pt>
                <c:pt idx="107">
                  <c:v>44608</c:v>
                </c:pt>
                <c:pt idx="108">
                  <c:v>44609</c:v>
                </c:pt>
                <c:pt idx="109">
                  <c:v>44610</c:v>
                </c:pt>
                <c:pt idx="110">
                  <c:v>44611</c:v>
                </c:pt>
                <c:pt idx="111">
                  <c:v>44612</c:v>
                </c:pt>
                <c:pt idx="112">
                  <c:v>44613</c:v>
                </c:pt>
                <c:pt idx="113">
                  <c:v>44614</c:v>
                </c:pt>
                <c:pt idx="114">
                  <c:v>44615</c:v>
                </c:pt>
                <c:pt idx="115">
                  <c:v>44616</c:v>
                </c:pt>
                <c:pt idx="116">
                  <c:v>44617</c:v>
                </c:pt>
                <c:pt idx="117">
                  <c:v>44618</c:v>
                </c:pt>
                <c:pt idx="118">
                  <c:v>44619</c:v>
                </c:pt>
                <c:pt idx="119">
                  <c:v>44620</c:v>
                </c:pt>
                <c:pt idx="120">
                  <c:v>44621</c:v>
                </c:pt>
                <c:pt idx="121">
                  <c:v>44622</c:v>
                </c:pt>
                <c:pt idx="122">
                  <c:v>44623</c:v>
                </c:pt>
                <c:pt idx="123">
                  <c:v>44624</c:v>
                </c:pt>
                <c:pt idx="124">
                  <c:v>44625</c:v>
                </c:pt>
                <c:pt idx="125">
                  <c:v>44626</c:v>
                </c:pt>
                <c:pt idx="126">
                  <c:v>44627</c:v>
                </c:pt>
                <c:pt idx="127">
                  <c:v>44628</c:v>
                </c:pt>
                <c:pt idx="128">
                  <c:v>44629</c:v>
                </c:pt>
                <c:pt idx="129">
                  <c:v>44630</c:v>
                </c:pt>
                <c:pt idx="130">
                  <c:v>44631</c:v>
                </c:pt>
                <c:pt idx="131">
                  <c:v>44632</c:v>
                </c:pt>
                <c:pt idx="132">
                  <c:v>44633</c:v>
                </c:pt>
                <c:pt idx="133">
                  <c:v>44634</c:v>
                </c:pt>
                <c:pt idx="134">
                  <c:v>44635</c:v>
                </c:pt>
                <c:pt idx="135">
                  <c:v>44636</c:v>
                </c:pt>
                <c:pt idx="136">
                  <c:v>44637</c:v>
                </c:pt>
                <c:pt idx="137">
                  <c:v>44638</c:v>
                </c:pt>
                <c:pt idx="138">
                  <c:v>44639</c:v>
                </c:pt>
                <c:pt idx="139">
                  <c:v>44640</c:v>
                </c:pt>
                <c:pt idx="140">
                  <c:v>44641</c:v>
                </c:pt>
                <c:pt idx="141">
                  <c:v>44642</c:v>
                </c:pt>
                <c:pt idx="142">
                  <c:v>44643</c:v>
                </c:pt>
                <c:pt idx="143">
                  <c:v>44644</c:v>
                </c:pt>
                <c:pt idx="144">
                  <c:v>44645</c:v>
                </c:pt>
                <c:pt idx="145">
                  <c:v>44646</c:v>
                </c:pt>
                <c:pt idx="146">
                  <c:v>44647</c:v>
                </c:pt>
                <c:pt idx="147">
                  <c:v>44648</c:v>
                </c:pt>
                <c:pt idx="148">
                  <c:v>44649</c:v>
                </c:pt>
                <c:pt idx="149">
                  <c:v>44650</c:v>
                </c:pt>
              </c:numCache>
            </c:numRef>
          </c:cat>
          <c:val>
            <c:numRef>
              <c:f>'21.22'!$B$2:$B$177</c:f>
              <c:numCache>
                <c:formatCode>General</c:formatCode>
                <c:ptCount val="176"/>
                <c:pt idx="0">
                  <c:v>23.28</c:v>
                </c:pt>
                <c:pt idx="1">
                  <c:v>23.63</c:v>
                </c:pt>
                <c:pt idx="2">
                  <c:v>23.59</c:v>
                </c:pt>
                <c:pt idx="3">
                  <c:v>23.67</c:v>
                </c:pt>
                <c:pt idx="4">
                  <c:v>25.97</c:v>
                </c:pt>
                <c:pt idx="5">
                  <c:v>26.13</c:v>
                </c:pt>
                <c:pt idx="6">
                  <c:v>24.79</c:v>
                </c:pt>
                <c:pt idx="7">
                  <c:v>24.68</c:v>
                </c:pt>
                <c:pt idx="8">
                  <c:v>23.9</c:v>
                </c:pt>
                <c:pt idx="9">
                  <c:v>25.13</c:v>
                </c:pt>
                <c:pt idx="10">
                  <c:v>22.14</c:v>
                </c:pt>
                <c:pt idx="11">
                  <c:v>22.65</c:v>
                </c:pt>
                <c:pt idx="12">
                  <c:v>23.61</c:v>
                </c:pt>
                <c:pt idx="13">
                  <c:v>23.31</c:v>
                </c:pt>
                <c:pt idx="14">
                  <c:v>23.4</c:v>
                </c:pt>
                <c:pt idx="15">
                  <c:v>22.07</c:v>
                </c:pt>
                <c:pt idx="16">
                  <c:v>22.26</c:v>
                </c:pt>
                <c:pt idx="17">
                  <c:v>21.88</c:v>
                </c:pt>
                <c:pt idx="18">
                  <c:v>22.15</c:v>
                </c:pt>
                <c:pt idx="19">
                  <c:v>22.3</c:v>
                </c:pt>
                <c:pt idx="20">
                  <c:v>23.4</c:v>
                </c:pt>
                <c:pt idx="21">
                  <c:v>25.24</c:v>
                </c:pt>
                <c:pt idx="22">
                  <c:v>25.75</c:v>
                </c:pt>
                <c:pt idx="23">
                  <c:v>25.97</c:v>
                </c:pt>
                <c:pt idx="24">
                  <c:v>25.21</c:v>
                </c:pt>
                <c:pt idx="25">
                  <c:v>25.72</c:v>
                </c:pt>
                <c:pt idx="26">
                  <c:v>26.44</c:v>
                </c:pt>
                <c:pt idx="27">
                  <c:v>27.11</c:v>
                </c:pt>
                <c:pt idx="28">
                  <c:v>21.57</c:v>
                </c:pt>
                <c:pt idx="29">
                  <c:v>22.95</c:v>
                </c:pt>
                <c:pt idx="30">
                  <c:v>25.42</c:v>
                </c:pt>
                <c:pt idx="31">
                  <c:v>22.83</c:v>
                </c:pt>
                <c:pt idx="32">
                  <c:v>24.74</c:v>
                </c:pt>
                <c:pt idx="33">
                  <c:v>25.55</c:v>
                </c:pt>
                <c:pt idx="34">
                  <c:v>24.37</c:v>
                </c:pt>
                <c:pt idx="35">
                  <c:v>23.42</c:v>
                </c:pt>
                <c:pt idx="36">
                  <c:v>24.72</c:v>
                </c:pt>
                <c:pt idx="37">
                  <c:v>24.29</c:v>
                </c:pt>
                <c:pt idx="38">
                  <c:v>24.31</c:v>
                </c:pt>
                <c:pt idx="39">
                  <c:v>24.46</c:v>
                </c:pt>
                <c:pt idx="40">
                  <c:v>25.85</c:v>
                </c:pt>
                <c:pt idx="41">
                  <c:v>25.46</c:v>
                </c:pt>
                <c:pt idx="42">
                  <c:v>23.62</c:v>
                </c:pt>
                <c:pt idx="43">
                  <c:v>22.16</c:v>
                </c:pt>
                <c:pt idx="44">
                  <c:v>22.23</c:v>
                </c:pt>
                <c:pt idx="45">
                  <c:v>22.81</c:v>
                </c:pt>
                <c:pt idx="46">
                  <c:v>23.8</c:v>
                </c:pt>
                <c:pt idx="47">
                  <c:v>22.92</c:v>
                </c:pt>
                <c:pt idx="48">
                  <c:v>22.78</c:v>
                </c:pt>
                <c:pt idx="49">
                  <c:v>24.2</c:v>
                </c:pt>
                <c:pt idx="50">
                  <c:v>25.27</c:v>
                </c:pt>
                <c:pt idx="51">
                  <c:v>24.3</c:v>
                </c:pt>
                <c:pt idx="52">
                  <c:v>23.07</c:v>
                </c:pt>
                <c:pt idx="53">
                  <c:v>22.19</c:v>
                </c:pt>
                <c:pt idx="54">
                  <c:v>23.59</c:v>
                </c:pt>
                <c:pt idx="55">
                  <c:v>24.71</c:v>
                </c:pt>
                <c:pt idx="56">
                  <c:v>25.52</c:v>
                </c:pt>
                <c:pt idx="57">
                  <c:v>24.93</c:v>
                </c:pt>
                <c:pt idx="58">
                  <c:v>23.72</c:v>
                </c:pt>
                <c:pt idx="59">
                  <c:v>21.51</c:v>
                </c:pt>
                <c:pt idx="60">
                  <c:v>22.57</c:v>
                </c:pt>
                <c:pt idx="61">
                  <c:v>22.22</c:v>
                </c:pt>
                <c:pt idx="62">
                  <c:v>22.76</c:v>
                </c:pt>
                <c:pt idx="63">
                  <c:v>22.03</c:v>
                </c:pt>
                <c:pt idx="64">
                  <c:v>23.3</c:v>
                </c:pt>
                <c:pt idx="65">
                  <c:v>23.5</c:v>
                </c:pt>
                <c:pt idx="66">
                  <c:v>22.97</c:v>
                </c:pt>
                <c:pt idx="67">
                  <c:v>22.58</c:v>
                </c:pt>
                <c:pt idx="68">
                  <c:v>22.01</c:v>
                </c:pt>
                <c:pt idx="69">
                  <c:v>23.82</c:v>
                </c:pt>
                <c:pt idx="70">
                  <c:v>22.05</c:v>
                </c:pt>
                <c:pt idx="71">
                  <c:v>22.17</c:v>
                </c:pt>
                <c:pt idx="72">
                  <c:v>21.23</c:v>
                </c:pt>
                <c:pt idx="73">
                  <c:v>22.69</c:v>
                </c:pt>
                <c:pt idx="74">
                  <c:v>25.1</c:v>
                </c:pt>
                <c:pt idx="75">
                  <c:v>25.79</c:v>
                </c:pt>
                <c:pt idx="76">
                  <c:v>25.36</c:v>
                </c:pt>
                <c:pt idx="77">
                  <c:v>24.44</c:v>
                </c:pt>
                <c:pt idx="78">
                  <c:v>22.78</c:v>
                </c:pt>
                <c:pt idx="79">
                  <c:v>22.6</c:v>
                </c:pt>
                <c:pt idx="80">
                  <c:v>24.42</c:v>
                </c:pt>
                <c:pt idx="81">
                  <c:v>25.27</c:v>
                </c:pt>
                <c:pt idx="82">
                  <c:v>26.47</c:v>
                </c:pt>
                <c:pt idx="83">
                  <c:v>26.2</c:v>
                </c:pt>
                <c:pt idx="84">
                  <c:v>26.12</c:v>
                </c:pt>
                <c:pt idx="85">
                  <c:v>23.41</c:v>
                </c:pt>
                <c:pt idx="86">
                  <c:v>23.66</c:v>
                </c:pt>
                <c:pt idx="87">
                  <c:v>23.09</c:v>
                </c:pt>
                <c:pt idx="88">
                  <c:v>23.47</c:v>
                </c:pt>
                <c:pt idx="89">
                  <c:v>21.75</c:v>
                </c:pt>
                <c:pt idx="90">
                  <c:v>22.92</c:v>
                </c:pt>
                <c:pt idx="91">
                  <c:v>22.32</c:v>
                </c:pt>
                <c:pt idx="92">
                  <c:v>22.66</c:v>
                </c:pt>
                <c:pt idx="93">
                  <c:v>24.17</c:v>
                </c:pt>
                <c:pt idx="94">
                  <c:v>22.94</c:v>
                </c:pt>
                <c:pt idx="95">
                  <c:v>22.93</c:v>
                </c:pt>
                <c:pt idx="96">
                  <c:v>24.36</c:v>
                </c:pt>
                <c:pt idx="97">
                  <c:v>23.17</c:v>
                </c:pt>
                <c:pt idx="98">
                  <c:v>21.86</c:v>
                </c:pt>
                <c:pt idx="99">
                  <c:v>23.17</c:v>
                </c:pt>
                <c:pt idx="100">
                  <c:v>24.26</c:v>
                </c:pt>
                <c:pt idx="101">
                  <c:v>22.89</c:v>
                </c:pt>
                <c:pt idx="102">
                  <c:v>22.83</c:v>
                </c:pt>
                <c:pt idx="103">
                  <c:v>22.95</c:v>
                </c:pt>
                <c:pt idx="104">
                  <c:v>23.93</c:v>
                </c:pt>
                <c:pt idx="105">
                  <c:v>24.49</c:v>
                </c:pt>
                <c:pt idx="106">
                  <c:v>23.57</c:v>
                </c:pt>
                <c:pt idx="107">
                  <c:v>24.15</c:v>
                </c:pt>
                <c:pt idx="108">
                  <c:v>23.33</c:v>
                </c:pt>
                <c:pt idx="109">
                  <c:v>23.15</c:v>
                </c:pt>
                <c:pt idx="110">
                  <c:v>21.24</c:v>
                </c:pt>
                <c:pt idx="111">
                  <c:v>21.95</c:v>
                </c:pt>
                <c:pt idx="112">
                  <c:v>23.35</c:v>
                </c:pt>
                <c:pt idx="113">
                  <c:v>25.01</c:v>
                </c:pt>
                <c:pt idx="114">
                  <c:v>26.04</c:v>
                </c:pt>
                <c:pt idx="115">
                  <c:v>25.07</c:v>
                </c:pt>
                <c:pt idx="116">
                  <c:v>26.13</c:v>
                </c:pt>
                <c:pt idx="117">
                  <c:v>25.43</c:v>
                </c:pt>
                <c:pt idx="118">
                  <c:v>25.87</c:v>
                </c:pt>
                <c:pt idx="119">
                  <c:v>25.8</c:v>
                </c:pt>
                <c:pt idx="120">
                  <c:v>26.47</c:v>
                </c:pt>
                <c:pt idx="121">
                  <c:v>24.27</c:v>
                </c:pt>
                <c:pt idx="122">
                  <c:v>23.08</c:v>
                </c:pt>
                <c:pt idx="123">
                  <c:v>23.55</c:v>
                </c:pt>
                <c:pt idx="124">
                  <c:v>24.42</c:v>
                </c:pt>
                <c:pt idx="125">
                  <c:v>25.11</c:v>
                </c:pt>
                <c:pt idx="126">
                  <c:v>24.83</c:v>
                </c:pt>
                <c:pt idx="127">
                  <c:v>25.38</c:v>
                </c:pt>
                <c:pt idx="128">
                  <c:v>25.49</c:v>
                </c:pt>
                <c:pt idx="129">
                  <c:v>25.76</c:v>
                </c:pt>
                <c:pt idx="130">
                  <c:v>24.88</c:v>
                </c:pt>
                <c:pt idx="131">
                  <c:v>22.94</c:v>
                </c:pt>
                <c:pt idx="132">
                  <c:v>23.64</c:v>
                </c:pt>
                <c:pt idx="133">
                  <c:v>22.61</c:v>
                </c:pt>
                <c:pt idx="134">
                  <c:v>24.08</c:v>
                </c:pt>
                <c:pt idx="135">
                  <c:v>23.42</c:v>
                </c:pt>
                <c:pt idx="136">
                  <c:v>24</c:v>
                </c:pt>
                <c:pt idx="137">
                  <c:v>26.07</c:v>
                </c:pt>
                <c:pt idx="138">
                  <c:v>24.67</c:v>
                </c:pt>
                <c:pt idx="139">
                  <c:v>24.22</c:v>
                </c:pt>
                <c:pt idx="140">
                  <c:v>24.45</c:v>
                </c:pt>
                <c:pt idx="141">
                  <c:v>24.65</c:v>
                </c:pt>
                <c:pt idx="142">
                  <c:v>24.74</c:v>
                </c:pt>
                <c:pt idx="143">
                  <c:v>24.86</c:v>
                </c:pt>
                <c:pt idx="144">
                  <c:v>23.24</c:v>
                </c:pt>
                <c:pt idx="145">
                  <c:v>22.87</c:v>
                </c:pt>
                <c:pt idx="146">
                  <c:v>23.66</c:v>
                </c:pt>
                <c:pt idx="147">
                  <c:v>23.36</c:v>
                </c:pt>
                <c:pt idx="148">
                  <c:v>24.76</c:v>
                </c:pt>
                <c:pt idx="149">
                  <c:v>23.58</c:v>
                </c:pt>
              </c:numCache>
            </c:numRef>
          </c:val>
          <c:smooth val="0"/>
          <c:extLst xmlns:c16r2="http://schemas.microsoft.com/office/drawing/2015/06/chart">
            <c:ext xmlns:c16="http://schemas.microsoft.com/office/drawing/2014/chart" uri="{C3380CC4-5D6E-409C-BE32-E72D297353CC}">
              <c16:uniqueId val="{00000001-AF2F-4E49-995B-614271DC3D0C}"/>
            </c:ext>
          </c:extLst>
        </c:ser>
        <c:dLbls>
          <c:showLegendKey val="0"/>
          <c:showVal val="0"/>
          <c:showCatName val="0"/>
          <c:showSerName val="0"/>
          <c:showPercent val="0"/>
          <c:showBubbleSize val="0"/>
        </c:dLbls>
        <c:marker val="1"/>
        <c:smooth val="0"/>
        <c:axId val="-1096792256"/>
        <c:axId val="-1096801504"/>
      </c:lineChart>
      <c:dateAx>
        <c:axId val="-1096793888"/>
        <c:scaling>
          <c:orientation val="minMax"/>
        </c:scaling>
        <c:delete val="0"/>
        <c:axPos val="b"/>
        <c:numFmt formatCode="[$-416]mmm\-yy;@" sourceLinked="0"/>
        <c:majorTickMark val="out"/>
        <c:minorTickMark val="none"/>
        <c:tickLblPos val="nextTo"/>
        <c:spPr>
          <a:noFill/>
          <a:ln w="9525" cap="flat" cmpd="sng" algn="ctr">
            <a:solidFill>
              <a:schemeClr val="tx1"/>
            </a:solidFill>
            <a:round/>
          </a:ln>
          <a:effectLst/>
        </c:spPr>
        <c:txPr>
          <a:bodyPr rot="-60000000" vert="horz"/>
          <a:lstStyle/>
          <a:p>
            <a:pPr>
              <a:defRPr/>
            </a:pPr>
            <a:endParaRPr lang="pt-BR"/>
          </a:p>
        </c:txPr>
        <c:crossAx val="-1096787360"/>
        <c:crosses val="autoZero"/>
        <c:auto val="1"/>
        <c:lblOffset val="100"/>
        <c:baseTimeUnit val="days"/>
        <c:majorUnit val="1"/>
        <c:majorTimeUnit val="months"/>
        <c:minorUnit val="15"/>
        <c:minorTimeUnit val="days"/>
      </c:dateAx>
      <c:valAx>
        <c:axId val="-1096787360"/>
        <c:scaling>
          <c:orientation val="minMax"/>
        </c:scaling>
        <c:delete val="0"/>
        <c:axPos val="l"/>
        <c:title>
          <c:tx>
            <c:rich>
              <a:bodyPr rot="-5400000" vert="horz"/>
              <a:lstStyle/>
              <a:p>
                <a:pPr>
                  <a:defRPr/>
                </a:pPr>
                <a:r>
                  <a:rPr lang="pt-BR"/>
                  <a:t>Precipitação (mm) </a:t>
                </a:r>
              </a:p>
            </c:rich>
          </c:tx>
          <c:layout>
            <c:manualLayout>
              <c:xMode val="edge"/>
              <c:yMode val="edge"/>
              <c:x val="1.3603602936274547E-2"/>
              <c:y val="0.27228826654682237"/>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vert="horz"/>
          <a:lstStyle/>
          <a:p>
            <a:pPr>
              <a:defRPr/>
            </a:pPr>
            <a:endParaRPr lang="pt-BR"/>
          </a:p>
        </c:txPr>
        <c:crossAx val="-1096793888"/>
        <c:crosses val="autoZero"/>
        <c:crossBetween val="between"/>
      </c:valAx>
      <c:valAx>
        <c:axId val="-1096801504"/>
        <c:scaling>
          <c:orientation val="minMax"/>
        </c:scaling>
        <c:delete val="0"/>
        <c:axPos val="r"/>
        <c:title>
          <c:tx>
            <c:rich>
              <a:bodyPr/>
              <a:lstStyle/>
              <a:p>
                <a:pPr>
                  <a:defRPr/>
                </a:pPr>
                <a:r>
                  <a:rPr lang="en-US"/>
                  <a:t>Temperatura (°C)</a:t>
                </a:r>
              </a:p>
            </c:rich>
          </c:tx>
          <c:overlay val="0"/>
        </c:title>
        <c:numFmt formatCode="General" sourceLinked="1"/>
        <c:majorTickMark val="out"/>
        <c:minorTickMark val="none"/>
        <c:tickLblPos val="nextTo"/>
        <c:crossAx val="-1096792256"/>
        <c:crosses val="max"/>
        <c:crossBetween val="between"/>
      </c:valAx>
      <c:dateAx>
        <c:axId val="-1096792256"/>
        <c:scaling>
          <c:orientation val="minMax"/>
        </c:scaling>
        <c:delete val="1"/>
        <c:axPos val="b"/>
        <c:numFmt formatCode="m/d/yyyy" sourceLinked="1"/>
        <c:majorTickMark val="out"/>
        <c:minorTickMark val="none"/>
        <c:tickLblPos val="nextTo"/>
        <c:crossAx val="-1096801504"/>
        <c:crosses val="autoZero"/>
        <c:auto val="1"/>
        <c:lblOffset val="100"/>
        <c:baseTimeUnit val="days"/>
        <c:majorUnit val="1"/>
        <c:minorUnit val="1"/>
      </c:dateAx>
      <c:spPr>
        <a:noFill/>
        <a:ln>
          <a:noFill/>
        </a:ln>
        <a:effectLst/>
      </c:spPr>
    </c:plotArea>
    <c:legend>
      <c:legendPos val="t"/>
      <c:layout>
        <c:manualLayout>
          <c:xMode val="edge"/>
          <c:yMode val="edge"/>
          <c:x val="0.2775409293933952"/>
          <c:y val="3.2979988677736168E-2"/>
          <c:w val="0.49495468568821244"/>
          <c:h val="7.4748458027863451E-2"/>
        </c:manualLayout>
      </c:layout>
      <c:overlay val="0"/>
    </c:legend>
    <c:plotVisOnly val="1"/>
    <c:dispBlanksAs val="gap"/>
    <c:showDLblsOverMax val="0"/>
  </c:chart>
  <c:spPr>
    <a:solidFill>
      <a:schemeClr val="bg1"/>
    </a:solidFill>
    <a:ln w="9525" cap="flat" cmpd="sng" algn="ctr">
      <a:noFill/>
      <a:round/>
    </a:ln>
    <a:effectLst/>
  </c:spPr>
  <c:txPr>
    <a:bodyPr/>
    <a:lstStyle/>
    <a:p>
      <a:pPr algn="just">
        <a:defRPr sz="1000" b="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tx1"/>
            </a:solidFill>
            <a:ln>
              <a:noFill/>
            </a:ln>
            <a:effectLst/>
          </c:spPr>
          <c:invertIfNegative val="0"/>
          <c:cat>
            <c:strRef>
              <c:f>Planilha1!$A$2:$A$3</c:f>
              <c:strCache>
                <c:ptCount val="2"/>
                <c:pt idx="0">
                  <c:v>Disco</c:v>
                </c:pt>
                <c:pt idx="1">
                  <c:v>Haste</c:v>
                </c:pt>
              </c:strCache>
            </c:strRef>
          </c:cat>
          <c:val>
            <c:numRef>
              <c:f>Planilha1!$D$2</c:f>
              <c:numCache>
                <c:formatCode>General</c:formatCode>
                <c:ptCount val="1"/>
                <c:pt idx="0">
                  <c:v>10.78</c:v>
                </c:pt>
              </c:numCache>
            </c:numRef>
          </c:val>
          <c:extLst xmlns:c16r2="http://schemas.microsoft.com/office/drawing/2015/06/chart">
            <c:ext xmlns:c16="http://schemas.microsoft.com/office/drawing/2014/chart" uri="{C3380CC4-5D6E-409C-BE32-E72D297353CC}">
              <c16:uniqueId val="{00000000-11D3-420B-872D-24954B3C6CC1}"/>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Planilha1!$D$3</c:f>
              <c:numCache>
                <c:formatCode>General</c:formatCode>
                <c:ptCount val="1"/>
                <c:pt idx="0">
                  <c:v>16.11</c:v>
                </c:pt>
              </c:numCache>
            </c:numRef>
          </c:val>
          <c:extLst xmlns:c16r2="http://schemas.microsoft.com/office/drawing/2015/06/chart">
            <c:ext xmlns:c16="http://schemas.microsoft.com/office/drawing/2014/chart" uri="{C3380CC4-5D6E-409C-BE32-E72D297353CC}">
              <c16:uniqueId val="{00000001-11D3-420B-872D-24954B3C6CC1}"/>
            </c:ext>
          </c:extLst>
        </c:ser>
        <c:dLbls>
          <c:showLegendKey val="0"/>
          <c:showVal val="0"/>
          <c:showCatName val="0"/>
          <c:showSerName val="0"/>
          <c:showPercent val="0"/>
          <c:showBubbleSize val="0"/>
        </c:dLbls>
        <c:gapWidth val="219"/>
        <c:overlap val="-27"/>
        <c:axId val="-955757856"/>
        <c:axId val="-955768736"/>
      </c:barChart>
      <c:catAx>
        <c:axId val="-955757856"/>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955768736"/>
        <c:crosses val="autoZero"/>
        <c:auto val="1"/>
        <c:lblAlgn val="ctr"/>
        <c:lblOffset val="100"/>
        <c:noMultiLvlLbl val="0"/>
      </c:catAx>
      <c:valAx>
        <c:axId val="-95576873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Estande inicial (plantas m</a:t>
                </a:r>
                <a:r>
                  <a:rPr lang="en-US" baseline="30000"/>
                  <a:t>-1</a:t>
                </a:r>
                <a:r>
                  <a:rPr lang="en-US"/>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55757856"/>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tx1"/>
            </a:solidFill>
            <a:ln>
              <a:noFill/>
            </a:ln>
            <a:effectLst/>
          </c:spPr>
          <c:invertIfNegative val="0"/>
          <c:cat>
            <c:strRef>
              <c:f>Planilha1!$A$2:$A$3</c:f>
              <c:strCache>
                <c:ptCount val="2"/>
                <c:pt idx="0">
                  <c:v>Disco</c:v>
                </c:pt>
                <c:pt idx="1">
                  <c:v>Haste</c:v>
                </c:pt>
              </c:strCache>
            </c:strRef>
          </c:cat>
          <c:val>
            <c:numRef>
              <c:f>Planilha1!$E$2</c:f>
              <c:numCache>
                <c:formatCode>General</c:formatCode>
                <c:ptCount val="1"/>
                <c:pt idx="0">
                  <c:v>14.5</c:v>
                </c:pt>
              </c:numCache>
            </c:numRef>
          </c:val>
          <c:extLst xmlns:c16r2="http://schemas.microsoft.com/office/drawing/2015/06/chart">
            <c:ext xmlns:c16="http://schemas.microsoft.com/office/drawing/2014/chart" uri="{C3380CC4-5D6E-409C-BE32-E72D297353CC}">
              <c16:uniqueId val="{00000000-3557-42E2-98A9-F598126DA597}"/>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Planilha1!$E$3</c:f>
              <c:numCache>
                <c:formatCode>General</c:formatCode>
                <c:ptCount val="1"/>
                <c:pt idx="0">
                  <c:v>16.22</c:v>
                </c:pt>
              </c:numCache>
            </c:numRef>
          </c:val>
          <c:extLst xmlns:c16r2="http://schemas.microsoft.com/office/drawing/2015/06/chart">
            <c:ext xmlns:c16="http://schemas.microsoft.com/office/drawing/2014/chart" uri="{C3380CC4-5D6E-409C-BE32-E72D297353CC}">
              <c16:uniqueId val="{00000001-3557-42E2-98A9-F598126DA597}"/>
            </c:ext>
          </c:extLst>
        </c:ser>
        <c:dLbls>
          <c:showLegendKey val="0"/>
          <c:showVal val="0"/>
          <c:showCatName val="0"/>
          <c:showSerName val="0"/>
          <c:showPercent val="0"/>
          <c:showBubbleSize val="0"/>
        </c:dLbls>
        <c:gapWidth val="219"/>
        <c:overlap val="-27"/>
        <c:axId val="-955766016"/>
        <c:axId val="-955763840"/>
      </c:barChart>
      <c:catAx>
        <c:axId val="-955766016"/>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955763840"/>
        <c:crosses val="autoZero"/>
        <c:auto val="1"/>
        <c:lblAlgn val="ctr"/>
        <c:lblOffset val="100"/>
        <c:noMultiLvlLbl val="0"/>
      </c:catAx>
      <c:valAx>
        <c:axId val="-955763840"/>
        <c:scaling>
          <c:orientation val="minMax"/>
          <c:min val="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Estande final (plantas m</a:t>
                </a:r>
                <a:r>
                  <a:rPr lang="en-US" baseline="30000"/>
                  <a:t>-1</a:t>
                </a:r>
                <a:r>
                  <a:rPr lang="en-US"/>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55766016"/>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tx1"/>
            </a:solidFill>
            <a:ln>
              <a:noFill/>
            </a:ln>
            <a:effectLst/>
          </c:spPr>
          <c:invertIfNegative val="0"/>
          <c:cat>
            <c:strRef>
              <c:f>Planilha1!$A$2:$A$3</c:f>
              <c:strCache>
                <c:ptCount val="2"/>
                <c:pt idx="0">
                  <c:v>Disco</c:v>
                </c:pt>
                <c:pt idx="1">
                  <c:v>Haste</c:v>
                </c:pt>
              </c:strCache>
            </c:strRef>
          </c:cat>
          <c:val>
            <c:numRef>
              <c:f>Planilha1!$B$2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0-4571-471B-95C4-956F9F10F85E}"/>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Planilha1!$B$3</c:f>
              <c:numCache>
                <c:formatCode>General</c:formatCode>
                <c:ptCount val="1"/>
                <c:pt idx="0">
                  <c:v>12.9</c:v>
                </c:pt>
              </c:numCache>
            </c:numRef>
          </c:val>
          <c:extLst xmlns:c16r2="http://schemas.microsoft.com/office/drawing/2015/06/chart">
            <c:ext xmlns:c16="http://schemas.microsoft.com/office/drawing/2014/chart" uri="{C3380CC4-5D6E-409C-BE32-E72D297353CC}">
              <c16:uniqueId val="{00000001-4571-471B-95C4-956F9F10F85E}"/>
            </c:ext>
          </c:extLst>
        </c:ser>
        <c:dLbls>
          <c:showLegendKey val="0"/>
          <c:showVal val="0"/>
          <c:showCatName val="0"/>
          <c:showSerName val="0"/>
          <c:showPercent val="0"/>
          <c:showBubbleSize val="0"/>
        </c:dLbls>
        <c:gapWidth val="219"/>
        <c:overlap val="-27"/>
        <c:axId val="-955767648"/>
        <c:axId val="-955763296"/>
      </c:barChart>
      <c:catAx>
        <c:axId val="-955767648"/>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955763296"/>
        <c:crosses val="autoZero"/>
        <c:auto val="1"/>
        <c:lblAlgn val="ctr"/>
        <c:lblOffset val="100"/>
        <c:noMultiLvlLbl val="0"/>
      </c:catAx>
      <c:valAx>
        <c:axId val="-955763296"/>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Altura inicial (cm)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5576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bg1"/>
            </a:solidFill>
            <a:ln>
              <a:noFill/>
            </a:ln>
            <a:effectLst/>
          </c:spPr>
          <c:invertIfNegative val="0"/>
          <c:dPt>
            <c:idx val="0"/>
            <c:invertIfNegative val="0"/>
            <c:bubble3D val="0"/>
            <c:spPr>
              <a:solidFill>
                <a:schemeClr val="tx1"/>
              </a:solidFill>
              <a:ln>
                <a:noFill/>
              </a:ln>
              <a:effectLst/>
            </c:spPr>
            <c:extLst xmlns:c16r2="http://schemas.microsoft.com/office/drawing/2015/06/chart">
              <c:ext xmlns:c16="http://schemas.microsoft.com/office/drawing/2014/chart" uri="{C3380CC4-5D6E-409C-BE32-E72D297353CC}">
                <c16:uniqueId val="{00000001-ED4E-43FE-BFEC-A873B47688AC}"/>
              </c:ext>
            </c:extLst>
          </c:dPt>
          <c:cat>
            <c:strRef>
              <c:f>Planilha1!$A$2:$A$3</c:f>
              <c:strCache>
                <c:ptCount val="2"/>
                <c:pt idx="0">
                  <c:v>Disco</c:v>
                </c:pt>
                <c:pt idx="1">
                  <c:v>Haste</c:v>
                </c:pt>
              </c:strCache>
            </c:strRef>
          </c:cat>
          <c:val>
            <c:numRef>
              <c:f>Planilha1!$C$2</c:f>
              <c:numCache>
                <c:formatCode>General</c:formatCode>
                <c:ptCount val="1"/>
                <c:pt idx="0">
                  <c:v>78.22</c:v>
                </c:pt>
              </c:numCache>
            </c:numRef>
          </c:val>
          <c:extLst xmlns:c16r2="http://schemas.microsoft.com/office/drawing/2015/06/chart">
            <c:ext xmlns:c16="http://schemas.microsoft.com/office/drawing/2014/chart" uri="{C3380CC4-5D6E-409C-BE32-E72D297353CC}">
              <c16:uniqueId val="{00000002-ED4E-43FE-BFEC-A873B47688AC}"/>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Planilha1!$C$3</c:f>
              <c:numCache>
                <c:formatCode>General</c:formatCode>
                <c:ptCount val="1"/>
                <c:pt idx="0">
                  <c:v>78.989999999999995</c:v>
                </c:pt>
              </c:numCache>
            </c:numRef>
          </c:val>
          <c:extLst xmlns:c16r2="http://schemas.microsoft.com/office/drawing/2015/06/chart">
            <c:ext xmlns:c16="http://schemas.microsoft.com/office/drawing/2014/chart" uri="{C3380CC4-5D6E-409C-BE32-E72D297353CC}">
              <c16:uniqueId val="{00000003-ED4E-43FE-BFEC-A873B47688AC}"/>
            </c:ext>
          </c:extLst>
        </c:ser>
        <c:dLbls>
          <c:showLegendKey val="0"/>
          <c:showVal val="0"/>
          <c:showCatName val="0"/>
          <c:showSerName val="0"/>
          <c:showPercent val="0"/>
          <c:showBubbleSize val="0"/>
        </c:dLbls>
        <c:gapWidth val="219"/>
        <c:overlap val="-27"/>
        <c:axId val="-955762208"/>
        <c:axId val="-955761120"/>
      </c:barChart>
      <c:catAx>
        <c:axId val="-955762208"/>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955761120"/>
        <c:crosses val="autoZero"/>
        <c:auto val="1"/>
        <c:lblAlgn val="ctr"/>
        <c:lblOffset val="100"/>
        <c:noMultiLvlLbl val="0"/>
      </c:catAx>
      <c:valAx>
        <c:axId val="-955761120"/>
        <c:scaling>
          <c:orientation val="minMax"/>
          <c:min val="7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Altura final (cm)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95576220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tx1"/>
            </a:solidFill>
            <a:ln>
              <a:noFill/>
            </a:ln>
            <a:effectLst/>
          </c:spPr>
          <c:invertIfNegative val="0"/>
          <c:cat>
            <c:strRef>
              <c:f>Planilha1!$A$2:$A$3</c:f>
              <c:strCache>
                <c:ptCount val="2"/>
                <c:pt idx="0">
                  <c:v>Disco</c:v>
                </c:pt>
                <c:pt idx="1">
                  <c:v>Haste</c:v>
                </c:pt>
              </c:strCache>
            </c:strRef>
          </c:cat>
          <c:val>
            <c:numRef>
              <c:f>Planilha1!$W$2</c:f>
              <c:numCache>
                <c:formatCode>General</c:formatCode>
                <c:ptCount val="1"/>
                <c:pt idx="0">
                  <c:v>28.88</c:v>
                </c:pt>
              </c:numCache>
            </c:numRef>
          </c:val>
          <c:extLst xmlns:c16r2="http://schemas.microsoft.com/office/drawing/2015/06/chart">
            <c:ext xmlns:c16="http://schemas.microsoft.com/office/drawing/2014/chart" uri="{C3380CC4-5D6E-409C-BE32-E72D297353CC}">
              <c16:uniqueId val="{00000000-35FF-4924-8C52-5AF0D15BEA44}"/>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Planilha1!$W$3</c:f>
              <c:numCache>
                <c:formatCode>General</c:formatCode>
                <c:ptCount val="1"/>
                <c:pt idx="0">
                  <c:v>32.78</c:v>
                </c:pt>
              </c:numCache>
            </c:numRef>
          </c:val>
          <c:extLst xmlns:c16r2="http://schemas.microsoft.com/office/drawing/2015/06/chart">
            <c:ext xmlns:c16="http://schemas.microsoft.com/office/drawing/2014/chart" uri="{C3380CC4-5D6E-409C-BE32-E72D297353CC}">
              <c16:uniqueId val="{00000001-35FF-4924-8C52-5AF0D15BEA44}"/>
            </c:ext>
          </c:extLst>
        </c:ser>
        <c:dLbls>
          <c:showLegendKey val="0"/>
          <c:showVal val="0"/>
          <c:showCatName val="0"/>
          <c:showSerName val="0"/>
          <c:showPercent val="0"/>
          <c:showBubbleSize val="0"/>
        </c:dLbls>
        <c:gapWidth val="219"/>
        <c:overlap val="-27"/>
        <c:axId val="-1096589728"/>
        <c:axId val="-1096581568"/>
      </c:barChart>
      <c:catAx>
        <c:axId val="-1096589728"/>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1096581568"/>
        <c:crosses val="autoZero"/>
        <c:auto val="1"/>
        <c:lblAlgn val="ctr"/>
        <c:lblOffset val="100"/>
        <c:noMultiLvlLbl val="0"/>
      </c:catAx>
      <c:valAx>
        <c:axId val="-1096581568"/>
        <c:scaling>
          <c:orientation val="minMax"/>
          <c:min val="2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Massa</a:t>
                </a:r>
                <a:r>
                  <a:rPr lang="en-US" baseline="0"/>
                  <a:t> de 100 grãos (g)</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096589728"/>
        <c:crosses val="autoZero"/>
        <c:crossBetween val="between"/>
        <c:majorUnit val="10"/>
      </c:valAx>
      <c:spPr>
        <a:noFill/>
        <a:ln>
          <a:noFill/>
        </a:ln>
        <a:effectLst/>
      </c:spPr>
    </c:plotArea>
    <c:legend>
      <c:legendPos val="b"/>
      <c:layout>
        <c:manualLayout>
          <c:xMode val="edge"/>
          <c:yMode val="edge"/>
          <c:x val="0.36484414615958244"/>
          <c:y val="0.86285370370370373"/>
          <c:w val="0.45025205070842655"/>
          <c:h val="9.0109259259259264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tx1"/>
            </a:solidFill>
            <a:ln>
              <a:noFill/>
            </a:ln>
            <a:effectLst/>
          </c:spPr>
          <c:invertIfNegative val="0"/>
          <c:cat>
            <c:strRef>
              <c:f>Planilha1!$A$2:$A$3</c:f>
              <c:strCache>
                <c:ptCount val="2"/>
                <c:pt idx="0">
                  <c:v>Disco</c:v>
                </c:pt>
                <c:pt idx="1">
                  <c:v>Haste</c:v>
                </c:pt>
              </c:strCache>
            </c:strRef>
          </c:cat>
          <c:val>
            <c:numRef>
              <c:f>Planilha1!$V$2</c:f>
              <c:numCache>
                <c:formatCode>General</c:formatCode>
                <c:ptCount val="1"/>
                <c:pt idx="0">
                  <c:v>35.700000000000003</c:v>
                </c:pt>
              </c:numCache>
            </c:numRef>
          </c:val>
          <c:extLst xmlns:c16r2="http://schemas.microsoft.com/office/drawing/2015/06/chart">
            <c:ext xmlns:c16="http://schemas.microsoft.com/office/drawing/2014/chart" uri="{C3380CC4-5D6E-409C-BE32-E72D297353CC}">
              <c16:uniqueId val="{00000000-CB82-47EF-917C-D56D9B72C606}"/>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Planilha1!$V$3</c:f>
              <c:numCache>
                <c:formatCode>General</c:formatCode>
                <c:ptCount val="1"/>
                <c:pt idx="0">
                  <c:v>32.1</c:v>
                </c:pt>
              </c:numCache>
            </c:numRef>
          </c:val>
          <c:extLst xmlns:c16r2="http://schemas.microsoft.com/office/drawing/2015/06/chart">
            <c:ext xmlns:c16="http://schemas.microsoft.com/office/drawing/2014/chart" uri="{C3380CC4-5D6E-409C-BE32-E72D297353CC}">
              <c16:uniqueId val="{00000001-CB82-47EF-917C-D56D9B72C606}"/>
            </c:ext>
          </c:extLst>
        </c:ser>
        <c:dLbls>
          <c:showLegendKey val="0"/>
          <c:showVal val="0"/>
          <c:showCatName val="0"/>
          <c:showSerName val="0"/>
          <c:showPercent val="0"/>
          <c:showBubbleSize val="0"/>
        </c:dLbls>
        <c:gapWidth val="219"/>
        <c:overlap val="-27"/>
        <c:axId val="-1096579936"/>
        <c:axId val="-1096589184"/>
      </c:barChart>
      <c:catAx>
        <c:axId val="-1096579936"/>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1096589184"/>
        <c:crosses val="autoZero"/>
        <c:auto val="1"/>
        <c:lblAlgn val="ctr"/>
        <c:lblOffset val="100"/>
        <c:noMultiLvlLbl val="0"/>
      </c:catAx>
      <c:valAx>
        <c:axId val="-1096589184"/>
        <c:scaling>
          <c:orientation val="minMax"/>
          <c:min val="2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Número</a:t>
                </a:r>
                <a:r>
                  <a:rPr lang="en-US" baseline="0"/>
                  <a:t> de vagens por planta</a:t>
                </a:r>
                <a:endParaRPr lang="en-US"/>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096579936"/>
        <c:crosses val="autoZero"/>
        <c:crossBetween val="between"/>
        <c:majorUnit val="5"/>
      </c:valAx>
      <c:spPr>
        <a:noFill/>
        <a:ln>
          <a:noFill/>
        </a:ln>
        <a:effectLst/>
      </c:spPr>
    </c:plotArea>
    <c:legend>
      <c:legendPos val="b"/>
      <c:layout>
        <c:manualLayout>
          <c:xMode val="edge"/>
          <c:yMode val="edge"/>
          <c:x val="0.36484414615958244"/>
          <c:y val="0.86285370370370373"/>
          <c:w val="0.45025205070842655"/>
          <c:h val="9.0109259259259264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Disco</c:v>
          </c:tx>
          <c:spPr>
            <a:solidFill>
              <a:schemeClr val="tx1"/>
            </a:solidFill>
            <a:ln>
              <a:noFill/>
            </a:ln>
            <a:effectLst/>
          </c:spPr>
          <c:invertIfNegative val="0"/>
          <c:cat>
            <c:strRef>
              <c:f>Planilha1!$A$2:$A$3</c:f>
              <c:strCache>
                <c:ptCount val="2"/>
                <c:pt idx="0">
                  <c:v>Disco</c:v>
                </c:pt>
                <c:pt idx="1">
                  <c:v>Haste</c:v>
                </c:pt>
              </c:strCache>
            </c:strRef>
          </c:cat>
          <c:val>
            <c:numRef>
              <c:f>Planilha1!$X$2</c:f>
              <c:numCache>
                <c:formatCode>General</c:formatCode>
                <c:ptCount val="1"/>
                <c:pt idx="0">
                  <c:v>4745.1000000000004</c:v>
                </c:pt>
              </c:numCache>
            </c:numRef>
          </c:val>
          <c:extLst xmlns:c16r2="http://schemas.microsoft.com/office/drawing/2015/06/chart">
            <c:ext xmlns:c16="http://schemas.microsoft.com/office/drawing/2014/chart" uri="{C3380CC4-5D6E-409C-BE32-E72D297353CC}">
              <c16:uniqueId val="{00000000-9274-4DCD-BF86-13A01418260D}"/>
            </c:ext>
          </c:extLst>
        </c:ser>
        <c:ser>
          <c:idx val="1"/>
          <c:order val="1"/>
          <c:tx>
            <c:v>Haste</c:v>
          </c:tx>
          <c:spPr>
            <a:solidFill>
              <a:schemeClr val="bg1"/>
            </a:solidFill>
            <a:ln>
              <a:solidFill>
                <a:schemeClr val="tx1"/>
              </a:solidFill>
            </a:ln>
            <a:effectLst/>
          </c:spPr>
          <c:invertIfNegative val="0"/>
          <c:cat>
            <c:strRef>
              <c:f>Planilha1!$A$2:$A$3</c:f>
              <c:strCache>
                <c:ptCount val="2"/>
                <c:pt idx="0">
                  <c:v>Disco</c:v>
                </c:pt>
                <c:pt idx="1">
                  <c:v>Haste</c:v>
                </c:pt>
              </c:strCache>
            </c:strRef>
          </c:cat>
          <c:val>
            <c:numRef>
              <c:f>Planilha1!$X$3</c:f>
              <c:numCache>
                <c:formatCode>General</c:formatCode>
                <c:ptCount val="1"/>
                <c:pt idx="0">
                  <c:v>4951.8999999999996</c:v>
                </c:pt>
              </c:numCache>
            </c:numRef>
          </c:val>
          <c:extLst xmlns:c16r2="http://schemas.microsoft.com/office/drawing/2015/06/chart">
            <c:ext xmlns:c16="http://schemas.microsoft.com/office/drawing/2014/chart" uri="{C3380CC4-5D6E-409C-BE32-E72D297353CC}">
              <c16:uniqueId val="{00000001-9274-4DCD-BF86-13A01418260D}"/>
            </c:ext>
          </c:extLst>
        </c:ser>
        <c:dLbls>
          <c:showLegendKey val="0"/>
          <c:showVal val="0"/>
          <c:showCatName val="0"/>
          <c:showSerName val="0"/>
          <c:showPercent val="0"/>
          <c:showBubbleSize val="0"/>
        </c:dLbls>
        <c:gapWidth val="219"/>
        <c:overlap val="-27"/>
        <c:axId val="-1096588640"/>
        <c:axId val="-1096578304"/>
      </c:barChart>
      <c:catAx>
        <c:axId val="-1096588640"/>
        <c:scaling>
          <c:orientation val="minMax"/>
        </c:scaling>
        <c:delete val="0"/>
        <c:axPos val="b"/>
        <c:numFmt formatCode="General" sourceLinked="1"/>
        <c:majorTickMark val="none"/>
        <c:minorTickMark val="none"/>
        <c:tickLblPos val="nextTo"/>
        <c:spPr>
          <a:solidFill>
            <a:sysClr val="window" lastClr="FFFFFF"/>
          </a:solid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pt-BR"/>
          </a:p>
        </c:txPr>
        <c:crossAx val="-1096578304"/>
        <c:crosses val="autoZero"/>
        <c:auto val="1"/>
        <c:lblAlgn val="ctr"/>
        <c:lblOffset val="100"/>
        <c:noMultiLvlLbl val="0"/>
      </c:catAx>
      <c:valAx>
        <c:axId val="-1096578304"/>
        <c:scaling>
          <c:orientation val="minMax"/>
          <c:min val="20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Produtividade (kg ha</a:t>
                </a:r>
                <a:r>
                  <a:rPr lang="en-US" baseline="30000"/>
                  <a:t>-1</a:t>
                </a:r>
                <a:r>
                  <a:rPr lang="en-US"/>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title>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1096588640"/>
        <c:crosses val="autoZero"/>
        <c:crossBetween val="between"/>
        <c:majorUnit val="500"/>
      </c:valAx>
      <c:spPr>
        <a:noFill/>
        <a:ln>
          <a:noFill/>
        </a:ln>
        <a:effectLst/>
      </c:spPr>
    </c:plotArea>
    <c:legend>
      <c:legendPos val="b"/>
      <c:layout>
        <c:manualLayout>
          <c:xMode val="edge"/>
          <c:yMode val="edge"/>
          <c:x val="0.36484414615958244"/>
          <c:y val="0.86285370370370373"/>
          <c:w val="0.45025205070842655"/>
          <c:h val="9.0109259259259264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0.66057</cdr:x>
      <cdr:y>0.00529</cdr:y>
    </cdr:from>
    <cdr:to>
      <cdr:x>0.73515</cdr:x>
      <cdr:y>0.2734</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771649" y="14288"/>
          <a:ext cx="200025" cy="7239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0.47694</cdr:x>
      <cdr:y>0.24847</cdr:y>
    </cdr:from>
    <cdr:to>
      <cdr:x>0.55152</cdr:x>
      <cdr:y>0.51658</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278974" y="670728"/>
          <a:ext cx="199994" cy="72373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B</a:t>
          </a:r>
        </a:p>
      </cdr:txBody>
    </cdr:sp>
  </cdr:relSizeAnchor>
</c:userShapes>
</file>

<file path=word/drawings/drawing2.xml><?xml version="1.0" encoding="utf-8"?>
<c:userShapes xmlns:c="http://schemas.openxmlformats.org/drawingml/2006/chart">
  <cdr:relSizeAnchor xmlns:cdr="http://schemas.openxmlformats.org/drawingml/2006/chartDrawing">
    <cdr:from>
      <cdr:x>0.66057</cdr:x>
      <cdr:y>0.00529</cdr:y>
    </cdr:from>
    <cdr:to>
      <cdr:x>0.73515</cdr:x>
      <cdr:y>0.2734</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771649" y="14288"/>
          <a:ext cx="200025" cy="7239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0.46998</cdr:x>
      <cdr:y>0.10348</cdr:y>
    </cdr:from>
    <cdr:to>
      <cdr:x>0.54456</cdr:x>
      <cdr:y>0.37159</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260494" y="279399"/>
          <a:ext cx="200024" cy="7238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B</a:t>
          </a:r>
        </a:p>
      </cdr:txBody>
    </cdr:sp>
  </cdr:relSizeAnchor>
</c:userShapes>
</file>

<file path=word/drawings/drawing3.xml><?xml version="1.0" encoding="utf-8"?>
<c:userShapes xmlns:c="http://schemas.openxmlformats.org/drawingml/2006/chart">
  <cdr:relSizeAnchor xmlns:cdr="http://schemas.openxmlformats.org/drawingml/2006/chartDrawing">
    <cdr:from>
      <cdr:x>0.66057</cdr:x>
      <cdr:y>0.00529</cdr:y>
    </cdr:from>
    <cdr:to>
      <cdr:x>0.73515</cdr:x>
      <cdr:y>0.2734</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771649" y="14288"/>
          <a:ext cx="200025" cy="7239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0.47353</cdr:x>
      <cdr:y>0.41393</cdr:y>
    </cdr:from>
    <cdr:to>
      <cdr:x>0.55886</cdr:x>
      <cdr:y>0.68204</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271924" y="1119722"/>
          <a:ext cx="229215" cy="72526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B</a:t>
          </a:r>
        </a:p>
      </cdr:txBody>
    </cdr:sp>
  </cdr:relSizeAnchor>
</c:userShapes>
</file>

<file path=word/drawings/drawing4.xml><?xml version="1.0" encoding="utf-8"?>
<c:userShapes xmlns:c="http://schemas.openxmlformats.org/drawingml/2006/chart">
  <cdr:relSizeAnchor xmlns:cdr="http://schemas.openxmlformats.org/drawingml/2006/chartDrawing">
    <cdr:from>
      <cdr:x>0.66057</cdr:x>
      <cdr:y>0.00529</cdr:y>
    </cdr:from>
    <cdr:to>
      <cdr:x>0.73515</cdr:x>
      <cdr:y>0.2734</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771649" y="14288"/>
          <a:ext cx="200025" cy="7239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0.46288</cdr:x>
      <cdr:y>0.08585</cdr:y>
    </cdr:from>
    <cdr:to>
      <cdr:x>0.53746</cdr:x>
      <cdr:y>0.35396</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241432" y="231786"/>
          <a:ext cx="200024" cy="7238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userShapes>
</file>

<file path=word/drawings/drawing5.xml><?xml version="1.0" encoding="utf-8"?>
<c:userShapes xmlns:c="http://schemas.openxmlformats.org/drawingml/2006/chart">
  <cdr:relSizeAnchor xmlns:cdr="http://schemas.openxmlformats.org/drawingml/2006/chartDrawing">
    <cdr:from>
      <cdr:x>0.66412</cdr:x>
      <cdr:y>0.22048</cdr:y>
    </cdr:from>
    <cdr:to>
      <cdr:x>0.7387</cdr:x>
      <cdr:y>0.48859</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781166" y="595302"/>
          <a:ext cx="200024" cy="7238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0.46998</cdr:x>
      <cdr:y>0.36454</cdr:y>
    </cdr:from>
    <cdr:to>
      <cdr:x>0.54456</cdr:x>
      <cdr:y>0.63265</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260486" y="984267"/>
          <a:ext cx="200024" cy="7238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B</a:t>
          </a:r>
        </a:p>
      </cdr:txBody>
    </cdr:sp>
  </cdr:relSizeAnchor>
</c:userShapes>
</file>

<file path=word/drawings/drawing6.xml><?xml version="1.0" encoding="utf-8"?>
<c:userShapes xmlns:c="http://schemas.openxmlformats.org/drawingml/2006/chart">
  <cdr:relSizeAnchor xmlns:cdr="http://schemas.openxmlformats.org/drawingml/2006/chartDrawing">
    <cdr:from>
      <cdr:x>0.66412</cdr:x>
      <cdr:y>0.22401</cdr:y>
    </cdr:from>
    <cdr:to>
      <cdr:x>0.7387</cdr:x>
      <cdr:y>0.49212</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781174" y="604833"/>
          <a:ext cx="200023" cy="7238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0.46998</cdr:x>
      <cdr:y>0.11054</cdr:y>
    </cdr:from>
    <cdr:to>
      <cdr:x>0.54456</cdr:x>
      <cdr:y>0.37865</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260494" y="298470"/>
          <a:ext cx="200024" cy="7238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userShapes>
</file>

<file path=word/drawings/drawing7.xml><?xml version="1.0" encoding="utf-8"?>
<c:userShapes xmlns:c="http://schemas.openxmlformats.org/drawingml/2006/chart">
  <cdr:relSizeAnchor xmlns:cdr="http://schemas.openxmlformats.org/drawingml/2006/chartDrawing">
    <cdr:from>
      <cdr:x>0.68543</cdr:x>
      <cdr:y>0.07584</cdr:y>
    </cdr:from>
    <cdr:to>
      <cdr:x>0.76001</cdr:x>
      <cdr:y>0.34395</cdr:y>
    </cdr:to>
    <cdr:sp macro="" textlink="">
      <cdr:nvSpPr>
        <cdr:cNvPr id="2" name="CaixaDeTexto 1">
          <a:extLst xmlns:a="http://schemas.openxmlformats.org/drawingml/2006/main">
            <a:ext uri="{FF2B5EF4-FFF2-40B4-BE49-F238E27FC236}">
              <a16:creationId xmlns="" xmlns:a16="http://schemas.microsoft.com/office/drawing/2014/main" id="{B967727E-CCDE-43DF-9190-5656737742E0}"/>
            </a:ext>
          </a:extLst>
        </cdr:cNvPr>
        <cdr:cNvSpPr txBox="1"/>
      </cdr:nvSpPr>
      <cdr:spPr>
        <a:xfrm xmlns:a="http://schemas.openxmlformats.org/drawingml/2006/main">
          <a:off x="1838320" y="204771"/>
          <a:ext cx="200023" cy="7238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0.5197</cdr:x>
      <cdr:y>0.11407</cdr:y>
    </cdr:from>
    <cdr:to>
      <cdr:x>0.59428</cdr:x>
      <cdr:y>0.38218</cdr:y>
    </cdr:to>
    <cdr:sp macro="" textlink="">
      <cdr:nvSpPr>
        <cdr:cNvPr id="3" name="CaixaDeTexto 1">
          <a:extLst xmlns:a="http://schemas.openxmlformats.org/drawingml/2006/main">
            <a:ext uri="{FF2B5EF4-FFF2-40B4-BE49-F238E27FC236}">
              <a16:creationId xmlns="" xmlns:a16="http://schemas.microsoft.com/office/drawing/2014/main" id="{2B42D32F-9806-4867-97A3-1354993C5482}"/>
            </a:ext>
          </a:extLst>
        </cdr:cNvPr>
        <cdr:cNvSpPr txBox="1"/>
      </cdr:nvSpPr>
      <cdr:spPr>
        <a:xfrm xmlns:a="http://schemas.openxmlformats.org/drawingml/2006/main">
          <a:off x="1393836" y="307983"/>
          <a:ext cx="200024" cy="7238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t-BR" sz="1100">
              <a:latin typeface="Times New Roman" panose="02020603050405020304" pitchFamily="18" charset="0"/>
              <a:cs typeface="Times New Roman" panose="02020603050405020304" pitchFamily="18" charset="0"/>
            </a:rPr>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2385</Words>
  <Characters>12880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 hoc</dc:creator>
  <cp:lastModifiedBy>UniRV</cp:lastModifiedBy>
  <cp:revision>2</cp:revision>
  <dcterms:created xsi:type="dcterms:W3CDTF">2025-03-13T12:12:00Z</dcterms:created>
  <dcterms:modified xsi:type="dcterms:W3CDTF">2025-03-13T12:12:00Z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1046-11.1.0.11664</vt:lpwstr>
  </property>
  <property fmtid="{D5CDD505-2E9C-101B-9397-08002B2CF9AE}" pid="3" name="GrammarlyDocumentId">
    <vt:lpwstr>20d5dfc4781f309240bab9cc2a9e778331c34510a0742a274a5808a7c571aa21</vt:lpwstr>
  </property>
</Properties>
</file>